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A13FC5" w14:textId="77777777" w:rsidR="00D508FA" w:rsidRPr="00850B8A" w:rsidRDefault="00D508FA" w:rsidP="00D508FA">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850B8A">
        <w:rPr>
          <w:b/>
          <w:bCs/>
          <w:spacing w:val="-4"/>
          <w:szCs w:val="24"/>
        </w:rPr>
        <w:t>POLICY TITLE:</w:t>
      </w:r>
      <w:r w:rsidRPr="00850B8A">
        <w:rPr>
          <w:b/>
          <w:bCs/>
          <w:spacing w:val="-4"/>
          <w:szCs w:val="24"/>
        </w:rPr>
        <w:tab/>
      </w:r>
      <w:r w:rsidRPr="00850B8A">
        <w:rPr>
          <w:b/>
          <w:bCs/>
          <w:spacing w:val="-4"/>
          <w:szCs w:val="24"/>
        </w:rPr>
        <w:tab/>
        <w:t>Board Actions and Decisions</w:t>
      </w:r>
    </w:p>
    <w:p w14:paraId="5E185549" w14:textId="77777777" w:rsidR="00D508FA" w:rsidRPr="00850B8A" w:rsidRDefault="00D508FA" w:rsidP="00D508FA">
      <w:pPr>
        <w:pStyle w:val="CSDAPolicy1"/>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850B8A">
        <w:rPr>
          <w:b/>
          <w:bCs/>
          <w:spacing w:val="-4"/>
          <w:szCs w:val="24"/>
        </w:rPr>
        <w:t>POLICY NUMBER:</w:t>
      </w:r>
      <w:r w:rsidRPr="00850B8A">
        <w:rPr>
          <w:b/>
          <w:bCs/>
          <w:spacing w:val="-4"/>
          <w:szCs w:val="24"/>
        </w:rPr>
        <w:tab/>
      </w:r>
      <w:r w:rsidR="00697DF8" w:rsidRPr="00850B8A">
        <w:rPr>
          <w:b/>
          <w:bCs/>
          <w:spacing w:val="-4"/>
          <w:szCs w:val="24"/>
        </w:rPr>
        <w:t>4200</w:t>
      </w:r>
    </w:p>
    <w:p w14:paraId="668CC0F0" w14:textId="77777777" w:rsidR="00AA4FEF" w:rsidRPr="00850B8A" w:rsidRDefault="00AA4FEF">
      <w:pPr>
        <w:pStyle w:val="CSDAPolicy1"/>
        <w:rPr>
          <w:bCs/>
          <w:spacing w:val="-4"/>
          <w:szCs w:val="24"/>
        </w:rPr>
      </w:pPr>
    </w:p>
    <w:p w14:paraId="40D294D9" w14:textId="77777777" w:rsidR="00D508FA" w:rsidRPr="00850B8A" w:rsidRDefault="00D508FA">
      <w:pPr>
        <w:pStyle w:val="CSDAPolicy1"/>
        <w:rPr>
          <w:bCs/>
          <w:spacing w:val="-4"/>
          <w:szCs w:val="24"/>
        </w:rPr>
      </w:pPr>
    </w:p>
    <w:p w14:paraId="69A5249E" w14:textId="77777777" w:rsidR="00AA4FEF" w:rsidRPr="00850B8A" w:rsidRDefault="00697DF8">
      <w:pPr>
        <w:pStyle w:val="CSDAPolicy1"/>
        <w:rPr>
          <w:spacing w:val="-4"/>
          <w:szCs w:val="24"/>
        </w:rPr>
      </w:pPr>
      <w:r w:rsidRPr="00850B8A">
        <w:rPr>
          <w:bCs/>
          <w:spacing w:val="-4"/>
          <w:szCs w:val="24"/>
        </w:rPr>
        <w:t>4200</w:t>
      </w:r>
      <w:r w:rsidR="00AA4FEF" w:rsidRPr="00850B8A">
        <w:rPr>
          <w:bCs/>
          <w:spacing w:val="-4"/>
          <w:szCs w:val="24"/>
        </w:rPr>
        <w:t>.1</w:t>
      </w:r>
      <w:r w:rsidR="00AA4FEF" w:rsidRPr="00850B8A">
        <w:rPr>
          <w:spacing w:val="-4"/>
          <w:szCs w:val="24"/>
        </w:rPr>
        <w:tab/>
        <w:t>Actions by the Board of Directors include but are not limited to the following:</w:t>
      </w:r>
    </w:p>
    <w:p w14:paraId="7F7AAECA" w14:textId="77777777" w:rsidR="00AA4FEF" w:rsidRPr="00850B8A" w:rsidRDefault="00AA4FEF">
      <w:pPr>
        <w:pStyle w:val="CSDAPolicy1"/>
        <w:rPr>
          <w:spacing w:val="-4"/>
          <w:szCs w:val="24"/>
        </w:rPr>
      </w:pPr>
      <w:r w:rsidRPr="00850B8A">
        <w:rPr>
          <w:spacing w:val="-4"/>
          <w:szCs w:val="24"/>
        </w:rPr>
        <w:tab/>
      </w:r>
    </w:p>
    <w:p w14:paraId="20908315"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.1.1</w:t>
      </w:r>
      <w:r w:rsidR="00A336E2" w:rsidRPr="00850B8A">
        <w:rPr>
          <w:spacing w:val="-4"/>
          <w:szCs w:val="24"/>
        </w:rPr>
        <w:t xml:space="preserve"> </w:t>
      </w:r>
      <w:r w:rsidR="00AA4FEF" w:rsidRPr="00850B8A">
        <w:rPr>
          <w:spacing w:val="-4"/>
          <w:szCs w:val="24"/>
        </w:rPr>
        <w:t>Adoption or rejection of regulations or poli</w:t>
      </w:r>
      <w:r w:rsidR="00AA4FEF" w:rsidRPr="00850B8A">
        <w:rPr>
          <w:spacing w:val="-4"/>
          <w:szCs w:val="24"/>
        </w:rPr>
        <w:softHyphen/>
        <w:t>cies;</w:t>
      </w:r>
    </w:p>
    <w:p w14:paraId="63016E4E"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48F19096"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.1.2</w:t>
      </w:r>
      <w:r w:rsidR="00A336E2" w:rsidRPr="00850B8A">
        <w:rPr>
          <w:spacing w:val="-4"/>
          <w:szCs w:val="24"/>
        </w:rPr>
        <w:t xml:space="preserve"> </w:t>
      </w:r>
      <w:r w:rsidR="00AA4FEF" w:rsidRPr="00850B8A">
        <w:rPr>
          <w:spacing w:val="-4"/>
          <w:szCs w:val="24"/>
        </w:rPr>
        <w:t>Adoption or rejection of a resolution;</w:t>
      </w:r>
    </w:p>
    <w:p w14:paraId="764493B2"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3FE2FF43"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.1.3</w:t>
      </w:r>
      <w:r w:rsidR="00A336E2" w:rsidRPr="00850B8A">
        <w:rPr>
          <w:spacing w:val="-4"/>
          <w:szCs w:val="24"/>
        </w:rPr>
        <w:t xml:space="preserve"> </w:t>
      </w:r>
      <w:r w:rsidR="00AA4FEF" w:rsidRPr="00850B8A">
        <w:rPr>
          <w:spacing w:val="-4"/>
          <w:szCs w:val="24"/>
        </w:rPr>
        <w:t>Adoption or rejection of an ordinance;</w:t>
      </w:r>
    </w:p>
    <w:p w14:paraId="026780E4"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57C84C3F"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.1.4</w:t>
      </w:r>
      <w:r w:rsidR="00A336E2" w:rsidRPr="00850B8A">
        <w:rPr>
          <w:spacing w:val="-4"/>
          <w:szCs w:val="24"/>
        </w:rPr>
        <w:t xml:space="preserve"> </w:t>
      </w:r>
      <w:r w:rsidR="00AA4FEF" w:rsidRPr="00850B8A">
        <w:rPr>
          <w:spacing w:val="-4"/>
          <w:szCs w:val="24"/>
        </w:rPr>
        <w:t>Approval or rejection of any contract or expen</w:t>
      </w:r>
      <w:r w:rsidR="00AA4FEF" w:rsidRPr="00850B8A">
        <w:rPr>
          <w:spacing w:val="-4"/>
          <w:szCs w:val="24"/>
        </w:rPr>
        <w:softHyphen/>
        <w:t>diture;</w:t>
      </w:r>
    </w:p>
    <w:p w14:paraId="3A21E72E"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41AE9578"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.1.5</w:t>
      </w:r>
      <w:r w:rsidR="00A336E2" w:rsidRPr="00850B8A">
        <w:rPr>
          <w:spacing w:val="-4"/>
          <w:szCs w:val="24"/>
        </w:rPr>
        <w:t xml:space="preserve"> </w:t>
      </w:r>
      <w:r w:rsidR="00AA4FEF" w:rsidRPr="00850B8A">
        <w:rPr>
          <w:spacing w:val="-4"/>
          <w:szCs w:val="24"/>
        </w:rPr>
        <w:t>Approval or rejection of any proposal which commits District funds or facilities, including employment and dismissal of personnel; and,</w:t>
      </w:r>
    </w:p>
    <w:p w14:paraId="61A8FA8D"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2AA0EAE2"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.1.6</w:t>
      </w:r>
      <w:r w:rsidR="00A336E2" w:rsidRPr="00850B8A">
        <w:rPr>
          <w:bCs/>
          <w:spacing w:val="-4"/>
          <w:szCs w:val="24"/>
        </w:rPr>
        <w:t xml:space="preserve"> </w:t>
      </w:r>
      <w:r w:rsidR="00AA4FEF" w:rsidRPr="00850B8A">
        <w:rPr>
          <w:spacing w:val="-4"/>
          <w:szCs w:val="24"/>
        </w:rPr>
        <w:t>Approval or disapproval of matters that require or may require t</w:t>
      </w:r>
      <w:r w:rsidR="0019373A" w:rsidRPr="00850B8A">
        <w:rPr>
          <w:spacing w:val="-4"/>
          <w:szCs w:val="24"/>
        </w:rPr>
        <w:t xml:space="preserve">he District or its employees to </w:t>
      </w:r>
      <w:proofErr w:type="gramStart"/>
      <w:r w:rsidR="00AA4FEF" w:rsidRPr="00850B8A">
        <w:rPr>
          <w:spacing w:val="-4"/>
          <w:szCs w:val="24"/>
        </w:rPr>
        <w:t>take action</w:t>
      </w:r>
      <w:proofErr w:type="gramEnd"/>
      <w:r w:rsidR="00AA4FEF" w:rsidRPr="00850B8A">
        <w:rPr>
          <w:spacing w:val="-4"/>
          <w:szCs w:val="24"/>
        </w:rPr>
        <w:t xml:space="preserve"> and/or provide services.</w:t>
      </w:r>
    </w:p>
    <w:p w14:paraId="7A5FBD02" w14:textId="77777777" w:rsidR="00AA4FEF" w:rsidRPr="00850B8A" w:rsidRDefault="00AA4FEF">
      <w:pPr>
        <w:pStyle w:val="CSDAPolicy1"/>
        <w:rPr>
          <w:spacing w:val="-4"/>
          <w:szCs w:val="24"/>
        </w:rPr>
      </w:pPr>
    </w:p>
    <w:p w14:paraId="45E2FEEC" w14:textId="77777777" w:rsidR="00AA4FEF" w:rsidRPr="00850B8A" w:rsidRDefault="00697DF8">
      <w:pPr>
        <w:pStyle w:val="CSDAPolicy1"/>
        <w:rPr>
          <w:spacing w:val="-4"/>
          <w:szCs w:val="24"/>
        </w:rPr>
      </w:pPr>
      <w:r w:rsidRPr="00850B8A">
        <w:rPr>
          <w:bCs/>
          <w:spacing w:val="-4"/>
          <w:szCs w:val="24"/>
        </w:rPr>
        <w:t>4200</w:t>
      </w:r>
      <w:r w:rsidR="00AA4FEF" w:rsidRPr="00850B8A">
        <w:rPr>
          <w:bCs/>
          <w:spacing w:val="-4"/>
          <w:szCs w:val="24"/>
        </w:rPr>
        <w:t>.2</w:t>
      </w:r>
      <w:r w:rsidR="00AA4FEF" w:rsidRPr="00850B8A">
        <w:rPr>
          <w:spacing w:val="-4"/>
          <w:szCs w:val="24"/>
        </w:rPr>
        <w:tab/>
        <w:t xml:space="preserve">Action can only be taken by the vote of </w:t>
      </w:r>
      <w:proofErr w:type="gramStart"/>
      <w:r w:rsidR="00AA4FEF" w:rsidRPr="00850B8A">
        <w:rPr>
          <w:spacing w:val="-4"/>
          <w:szCs w:val="24"/>
        </w:rPr>
        <w:t>the majority of</w:t>
      </w:r>
      <w:proofErr w:type="gramEnd"/>
      <w:r w:rsidR="00AA4FEF" w:rsidRPr="00850B8A">
        <w:rPr>
          <w:spacing w:val="-4"/>
          <w:szCs w:val="24"/>
        </w:rPr>
        <w:t xml:space="preserve"> the Board of Directors.</w:t>
      </w:r>
      <w:r w:rsidR="00A336E2" w:rsidRPr="00850B8A">
        <w:rPr>
          <w:spacing w:val="-4"/>
          <w:szCs w:val="24"/>
        </w:rPr>
        <w:t xml:space="preserve"> </w:t>
      </w:r>
      <w:r w:rsidR="00AA4FEF" w:rsidRPr="00850B8A">
        <w:rPr>
          <w:spacing w:val="-4"/>
          <w:szCs w:val="24"/>
        </w:rPr>
        <w:t xml:space="preserve">Three (3) Directors [if </w:t>
      </w:r>
      <w:r w:rsidR="00406691" w:rsidRPr="00850B8A">
        <w:rPr>
          <w:spacing w:val="-4"/>
          <w:szCs w:val="24"/>
        </w:rPr>
        <w:t>five</w:t>
      </w:r>
      <w:r w:rsidR="00AA4FEF" w:rsidRPr="00850B8A">
        <w:rPr>
          <w:spacing w:val="-4"/>
          <w:szCs w:val="24"/>
        </w:rPr>
        <w:t xml:space="preserve">-member Board, </w:t>
      </w:r>
      <w:r w:rsidR="00406691" w:rsidRPr="00850B8A">
        <w:rPr>
          <w:spacing w:val="-4"/>
          <w:szCs w:val="24"/>
        </w:rPr>
        <w:t>four</w:t>
      </w:r>
      <w:r w:rsidR="00AA4FEF" w:rsidRPr="00850B8A">
        <w:rPr>
          <w:spacing w:val="-4"/>
          <w:szCs w:val="24"/>
        </w:rPr>
        <w:t xml:space="preserve"> if </w:t>
      </w:r>
      <w:r w:rsidR="00406691" w:rsidRPr="00850B8A">
        <w:rPr>
          <w:spacing w:val="-4"/>
          <w:szCs w:val="24"/>
        </w:rPr>
        <w:t>seven</w:t>
      </w:r>
      <w:r w:rsidR="00AA4FEF" w:rsidRPr="00850B8A">
        <w:rPr>
          <w:spacing w:val="-4"/>
          <w:szCs w:val="24"/>
        </w:rPr>
        <w:t>-member Board] represent a quorum for the conduct of business.</w:t>
      </w:r>
      <w:r w:rsidR="00A336E2" w:rsidRPr="00850B8A">
        <w:rPr>
          <w:spacing w:val="-4"/>
          <w:szCs w:val="24"/>
        </w:rPr>
        <w:t xml:space="preserve"> </w:t>
      </w:r>
    </w:p>
    <w:p w14:paraId="305A6DB1" w14:textId="77777777" w:rsidR="00AA4FEF" w:rsidRPr="00850B8A" w:rsidRDefault="00AA4FEF">
      <w:pPr>
        <w:pStyle w:val="CSDAPolicy1"/>
        <w:rPr>
          <w:spacing w:val="-4"/>
          <w:szCs w:val="24"/>
        </w:rPr>
      </w:pPr>
    </w:p>
    <w:p w14:paraId="182EDD7E" w14:textId="20032F67" w:rsidR="00B771AD"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t>4200</w:t>
      </w:r>
      <w:r w:rsidR="00AA4FEF" w:rsidRPr="00850B8A">
        <w:rPr>
          <w:bCs/>
          <w:spacing w:val="-4"/>
          <w:szCs w:val="24"/>
        </w:rPr>
        <w:t>.2.1</w:t>
      </w:r>
      <w:r w:rsidR="00A336E2" w:rsidRPr="00850B8A">
        <w:rPr>
          <w:spacing w:val="-4"/>
          <w:szCs w:val="24"/>
        </w:rPr>
        <w:t xml:space="preserve"> </w:t>
      </w:r>
      <w:r w:rsidR="00AA4FEF" w:rsidRPr="00850B8A">
        <w:rPr>
          <w:spacing w:val="-4"/>
          <w:szCs w:val="24"/>
        </w:rPr>
        <w:t xml:space="preserve">A </w:t>
      </w:r>
      <w:r w:rsidR="00327A55">
        <w:rPr>
          <w:spacing w:val="-4"/>
          <w:szCs w:val="24"/>
        </w:rPr>
        <w:t xml:space="preserve">Board </w:t>
      </w:r>
      <w:r w:rsidR="00AA4FEF" w:rsidRPr="00850B8A">
        <w:rPr>
          <w:spacing w:val="-4"/>
          <w:szCs w:val="24"/>
        </w:rPr>
        <w:t>member abstaining in a vote is considered as absent for that vote.</w:t>
      </w:r>
      <w:r w:rsidR="00A336E2" w:rsidRPr="00850B8A">
        <w:rPr>
          <w:spacing w:val="-4"/>
          <w:szCs w:val="24"/>
        </w:rPr>
        <w:t xml:space="preserve"> </w:t>
      </w:r>
      <w:r w:rsidR="00B771AD" w:rsidRPr="00850B8A">
        <w:rPr>
          <w:spacing w:val="-4"/>
          <w:szCs w:val="24"/>
        </w:rPr>
        <w:t xml:space="preserve">A </w:t>
      </w:r>
      <w:r w:rsidR="00327A55">
        <w:rPr>
          <w:spacing w:val="-4"/>
          <w:szCs w:val="24"/>
        </w:rPr>
        <w:t xml:space="preserve">Board </w:t>
      </w:r>
      <w:r w:rsidR="00B771AD" w:rsidRPr="00850B8A">
        <w:rPr>
          <w:spacing w:val="-4"/>
          <w:szCs w:val="24"/>
        </w:rPr>
        <w:t>member abstaining due to a conflict of interest does not count towards a quorum.</w:t>
      </w:r>
    </w:p>
    <w:p w14:paraId="58F3FB78" w14:textId="77777777" w:rsidR="00AA4FEF" w:rsidRPr="00850B8A" w:rsidRDefault="00AA4FEF">
      <w:pPr>
        <w:pStyle w:val="CSDAPolicy1"/>
        <w:rPr>
          <w:spacing w:val="-4"/>
          <w:szCs w:val="24"/>
        </w:rPr>
      </w:pPr>
    </w:p>
    <w:p w14:paraId="23031C7D"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.2.1.1</w:t>
      </w:r>
      <w:r w:rsidR="00A336E2" w:rsidRPr="00850B8A">
        <w:rPr>
          <w:spacing w:val="-4"/>
          <w:szCs w:val="24"/>
        </w:rPr>
        <w:t xml:space="preserve"> </w:t>
      </w:r>
      <w:r w:rsidR="00AA4FEF" w:rsidRPr="00850B8A">
        <w:rPr>
          <w:spacing w:val="-4"/>
          <w:szCs w:val="24"/>
        </w:rPr>
        <w:t>Example.</w:t>
      </w:r>
      <w:r w:rsidR="00A336E2" w:rsidRPr="00850B8A">
        <w:rPr>
          <w:spacing w:val="-4"/>
          <w:szCs w:val="24"/>
        </w:rPr>
        <w:t xml:space="preserve"> </w:t>
      </w:r>
      <w:r w:rsidR="00AA4FEF" w:rsidRPr="00850B8A">
        <w:rPr>
          <w:spacing w:val="-4"/>
          <w:szCs w:val="24"/>
        </w:rPr>
        <w:t xml:space="preserve">If three of five Directors are present at a meeting, a quorum </w:t>
      </w:r>
      <w:proofErr w:type="gramStart"/>
      <w:r w:rsidR="00AA4FEF" w:rsidRPr="00850B8A">
        <w:rPr>
          <w:spacing w:val="-4"/>
          <w:szCs w:val="24"/>
        </w:rPr>
        <w:t>exists</w:t>
      </w:r>
      <w:proofErr w:type="gramEnd"/>
      <w:r w:rsidR="00AA4FEF" w:rsidRPr="00850B8A">
        <w:rPr>
          <w:spacing w:val="-4"/>
          <w:szCs w:val="24"/>
        </w:rPr>
        <w:t xml:space="preserve"> and business can be conducted</w:t>
      </w:r>
      <w:r w:rsidR="00B771AD" w:rsidRPr="00850B8A">
        <w:rPr>
          <w:spacing w:val="-4"/>
          <w:szCs w:val="24"/>
        </w:rPr>
        <w:t xml:space="preserve"> unless the abstention is due to a conflict of interest</w:t>
      </w:r>
      <w:r w:rsidR="00AA4FEF" w:rsidRPr="00850B8A">
        <w:rPr>
          <w:spacing w:val="-4"/>
          <w:szCs w:val="24"/>
        </w:rPr>
        <w:t>.</w:t>
      </w:r>
      <w:r w:rsidR="00A336E2" w:rsidRPr="00850B8A">
        <w:rPr>
          <w:spacing w:val="-4"/>
          <w:szCs w:val="24"/>
        </w:rPr>
        <w:t xml:space="preserve"> </w:t>
      </w:r>
      <w:r w:rsidR="00AA4FEF" w:rsidRPr="00850B8A">
        <w:rPr>
          <w:spacing w:val="-4"/>
          <w:szCs w:val="24"/>
        </w:rPr>
        <w:t>However, if one Director abstains on a particular action and the other two cast "aye" votes, no action is taken because a "majority of the Board" did not vote in favor of the action.</w:t>
      </w:r>
    </w:p>
    <w:p w14:paraId="49689E7B"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p>
    <w:p w14:paraId="4D94C1EE"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.2.1.2</w:t>
      </w:r>
      <w:r w:rsidR="00A336E2" w:rsidRPr="00850B8A">
        <w:rPr>
          <w:spacing w:val="-4"/>
          <w:szCs w:val="24"/>
        </w:rPr>
        <w:t xml:space="preserve"> </w:t>
      </w:r>
      <w:r w:rsidR="00AA4FEF" w:rsidRPr="00850B8A">
        <w:rPr>
          <w:spacing w:val="-4"/>
          <w:szCs w:val="24"/>
        </w:rPr>
        <w:t>Example.</w:t>
      </w:r>
      <w:r w:rsidR="00A336E2" w:rsidRPr="00850B8A">
        <w:rPr>
          <w:spacing w:val="-4"/>
          <w:szCs w:val="24"/>
        </w:rPr>
        <w:t xml:space="preserve"> </w:t>
      </w:r>
      <w:r w:rsidR="00AA4FEF" w:rsidRPr="00850B8A">
        <w:rPr>
          <w:spacing w:val="-4"/>
          <w:szCs w:val="24"/>
        </w:rPr>
        <w:t xml:space="preserve">If an action is proposed requiring a two-thirds vote and </w:t>
      </w:r>
      <w:r w:rsidR="00406691" w:rsidRPr="00850B8A">
        <w:rPr>
          <w:spacing w:val="-4"/>
          <w:szCs w:val="24"/>
        </w:rPr>
        <w:t>two</w:t>
      </w:r>
      <w:r w:rsidR="00AA4FEF" w:rsidRPr="00850B8A">
        <w:rPr>
          <w:spacing w:val="-4"/>
          <w:szCs w:val="24"/>
        </w:rPr>
        <w:t xml:space="preserve"> Directors abstain, the proposed action cannot be approved because </w:t>
      </w:r>
      <w:r w:rsidR="00406691" w:rsidRPr="00850B8A">
        <w:rPr>
          <w:spacing w:val="-4"/>
          <w:szCs w:val="24"/>
        </w:rPr>
        <w:t>four</w:t>
      </w:r>
      <w:r w:rsidR="00AA4FEF" w:rsidRPr="00850B8A">
        <w:rPr>
          <w:spacing w:val="-4"/>
          <w:szCs w:val="24"/>
        </w:rPr>
        <w:t xml:space="preserve"> of the </w:t>
      </w:r>
      <w:r w:rsidR="00406691" w:rsidRPr="00850B8A">
        <w:rPr>
          <w:spacing w:val="-4"/>
          <w:szCs w:val="24"/>
        </w:rPr>
        <w:t>five</w:t>
      </w:r>
      <w:r w:rsidR="00AA4FEF" w:rsidRPr="00850B8A">
        <w:rPr>
          <w:spacing w:val="-4"/>
          <w:szCs w:val="24"/>
        </w:rPr>
        <w:t xml:space="preserve"> Directors would have to vote in favor of the action.</w:t>
      </w:r>
    </w:p>
    <w:p w14:paraId="5EE09ADB"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p>
    <w:p w14:paraId="69A1A3C4"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.2.1.3</w:t>
      </w:r>
      <w:r w:rsidR="00A336E2" w:rsidRPr="00850B8A">
        <w:rPr>
          <w:spacing w:val="-4"/>
          <w:szCs w:val="24"/>
        </w:rPr>
        <w:t xml:space="preserve"> </w:t>
      </w:r>
      <w:r w:rsidR="00AA4FEF" w:rsidRPr="00850B8A">
        <w:rPr>
          <w:spacing w:val="-4"/>
          <w:szCs w:val="24"/>
        </w:rPr>
        <w:t>Example.</w:t>
      </w:r>
      <w:r w:rsidR="00A336E2" w:rsidRPr="00850B8A">
        <w:rPr>
          <w:spacing w:val="-4"/>
          <w:szCs w:val="24"/>
        </w:rPr>
        <w:t xml:space="preserve"> </w:t>
      </w:r>
      <w:r w:rsidR="00AA4FEF" w:rsidRPr="00850B8A">
        <w:rPr>
          <w:spacing w:val="-4"/>
          <w:szCs w:val="24"/>
        </w:rPr>
        <w:t>If a vacancy exists on the Board and a vote is taken to appoint an individual to fill said vacancy, three Directors must vote in favor of the appointment for it to be approved.</w:t>
      </w:r>
      <w:r w:rsidR="00A336E2" w:rsidRPr="00850B8A">
        <w:rPr>
          <w:spacing w:val="-4"/>
          <w:szCs w:val="24"/>
        </w:rPr>
        <w:t xml:space="preserve"> </w:t>
      </w:r>
      <w:r w:rsidR="00AA4FEF" w:rsidRPr="00850B8A">
        <w:rPr>
          <w:spacing w:val="-4"/>
          <w:szCs w:val="24"/>
        </w:rPr>
        <w:t>If two of the four Directors present abstain, the appointment is not approved.</w:t>
      </w:r>
    </w:p>
    <w:p w14:paraId="791478BB" w14:textId="77777777" w:rsidR="00697DF8" w:rsidRPr="00850B8A" w:rsidRDefault="00697DF8">
      <w:pPr>
        <w:pStyle w:val="CSDAPolicy1"/>
        <w:rPr>
          <w:spacing w:val="-4"/>
          <w:szCs w:val="24"/>
        </w:rPr>
        <w:sectPr w:rsidR="00697DF8" w:rsidRPr="00850B8A" w:rsidSect="003C44E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152" w:bottom="1440" w:left="1800" w:header="1152" w:footer="720" w:gutter="0"/>
          <w:cols w:space="720"/>
          <w:noEndnote/>
          <w:docGrid w:linePitch="272"/>
        </w:sectPr>
      </w:pPr>
    </w:p>
    <w:p w14:paraId="216898AB"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sidRPr="00850B8A">
        <w:rPr>
          <w:bCs/>
          <w:spacing w:val="-4"/>
          <w:szCs w:val="24"/>
        </w:rPr>
        <w:lastRenderedPageBreak/>
        <w:t>4200</w:t>
      </w:r>
      <w:r w:rsidR="00AA4FEF" w:rsidRPr="00850B8A">
        <w:rPr>
          <w:bCs/>
          <w:spacing w:val="-4"/>
          <w:szCs w:val="24"/>
        </w:rPr>
        <w:t>.3</w:t>
      </w:r>
      <w:r w:rsidR="00AA4FEF" w:rsidRPr="00850B8A">
        <w:rPr>
          <w:spacing w:val="-4"/>
          <w:szCs w:val="24"/>
        </w:rPr>
        <w:tab/>
        <w:t>The Board may give directions that are not formal action.</w:t>
      </w:r>
      <w:r w:rsidR="00A336E2" w:rsidRPr="00850B8A">
        <w:rPr>
          <w:spacing w:val="-4"/>
          <w:szCs w:val="24"/>
        </w:rPr>
        <w:t xml:space="preserve"> </w:t>
      </w:r>
      <w:r w:rsidR="00AA4FEF" w:rsidRPr="00850B8A">
        <w:rPr>
          <w:spacing w:val="-4"/>
          <w:szCs w:val="24"/>
        </w:rPr>
        <w:t>Such directions do not require formal procedural process.</w:t>
      </w:r>
      <w:r w:rsidR="00A336E2" w:rsidRPr="00850B8A">
        <w:rPr>
          <w:spacing w:val="-4"/>
          <w:szCs w:val="24"/>
        </w:rPr>
        <w:t xml:space="preserve"> </w:t>
      </w:r>
      <w:r w:rsidR="00AA4FEF" w:rsidRPr="00850B8A">
        <w:rPr>
          <w:spacing w:val="-4"/>
          <w:szCs w:val="24"/>
        </w:rPr>
        <w:t>Such directions include the Board's directives and instructions to the General Manager.</w:t>
      </w:r>
    </w:p>
    <w:p w14:paraId="44B59FFA" w14:textId="77777777" w:rsidR="0019373A" w:rsidRPr="00850B8A" w:rsidRDefault="0019373A" w:rsidP="0019373A">
      <w:pPr>
        <w:pStyle w:val="CSDAPolicy1"/>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06C71B15"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.3.1</w:t>
      </w:r>
      <w:r w:rsidR="00A336E2" w:rsidRPr="00850B8A">
        <w:rPr>
          <w:spacing w:val="-4"/>
          <w:szCs w:val="24"/>
        </w:rPr>
        <w:t xml:space="preserve"> </w:t>
      </w:r>
      <w:r w:rsidR="00AA4FEF" w:rsidRPr="00850B8A">
        <w:rPr>
          <w:spacing w:val="-4"/>
          <w:szCs w:val="24"/>
        </w:rPr>
        <w:t xml:space="preserve">The </w:t>
      </w:r>
      <w:r w:rsidR="00406691" w:rsidRPr="00850B8A">
        <w:rPr>
          <w:spacing w:val="-4"/>
          <w:szCs w:val="24"/>
        </w:rPr>
        <w:t>President</w:t>
      </w:r>
      <w:r w:rsidR="00AA4FEF" w:rsidRPr="00850B8A">
        <w:rPr>
          <w:spacing w:val="-4"/>
          <w:szCs w:val="24"/>
        </w:rPr>
        <w:t xml:space="preserve"> shall determine by consensus a Board directive and shall state it for clarification.</w:t>
      </w:r>
      <w:r w:rsidR="00A336E2" w:rsidRPr="00850B8A">
        <w:rPr>
          <w:spacing w:val="-4"/>
          <w:szCs w:val="24"/>
        </w:rPr>
        <w:t xml:space="preserve"> </w:t>
      </w:r>
      <w:r w:rsidR="00AA4FEF" w:rsidRPr="00850B8A">
        <w:rPr>
          <w:spacing w:val="-4"/>
          <w:szCs w:val="24"/>
        </w:rPr>
        <w:t xml:space="preserve">Should any two Directors challenge the statement of the </w:t>
      </w:r>
      <w:r w:rsidR="00406691" w:rsidRPr="00850B8A">
        <w:rPr>
          <w:spacing w:val="-4"/>
          <w:szCs w:val="24"/>
        </w:rPr>
        <w:t>President</w:t>
      </w:r>
      <w:r w:rsidR="00AA4FEF" w:rsidRPr="00850B8A">
        <w:rPr>
          <w:spacing w:val="-4"/>
          <w:szCs w:val="24"/>
        </w:rPr>
        <w:t>, a voice vote may be requested.</w:t>
      </w:r>
    </w:p>
    <w:p w14:paraId="1F669F44"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p>
    <w:p w14:paraId="3EF8B4BE"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.3.2</w:t>
      </w:r>
      <w:r w:rsidR="00A336E2" w:rsidRPr="00850B8A">
        <w:rPr>
          <w:spacing w:val="-4"/>
          <w:szCs w:val="24"/>
        </w:rPr>
        <w:t xml:space="preserve"> </w:t>
      </w:r>
      <w:r w:rsidR="00AA4FEF" w:rsidRPr="00850B8A">
        <w:rPr>
          <w:spacing w:val="-4"/>
          <w:szCs w:val="24"/>
        </w:rPr>
        <w:t>A formal motion may be made to place a disputed directive on a future agenda for Board consideration, or to take some other action (such as refer the matter to the General Manager for review and recommendation, etc.).</w:t>
      </w:r>
    </w:p>
    <w:p w14:paraId="663AA9F9" w14:textId="77777777" w:rsidR="00AA4FEF" w:rsidRPr="00850B8A" w:rsidRDefault="00AA4FEF"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p>
    <w:p w14:paraId="7397A433" w14:textId="77777777" w:rsidR="00AA4FEF"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bCs/>
          <w:spacing w:val="-4"/>
          <w:szCs w:val="24"/>
        </w:rPr>
        <w:t>4200</w:t>
      </w:r>
      <w:r w:rsidR="00AA4FEF" w:rsidRPr="00850B8A">
        <w:rPr>
          <w:bCs/>
          <w:spacing w:val="-4"/>
          <w:szCs w:val="24"/>
        </w:rPr>
        <w:t>.3.3</w:t>
      </w:r>
      <w:r w:rsidR="00A336E2" w:rsidRPr="00850B8A">
        <w:rPr>
          <w:bCs/>
          <w:spacing w:val="-4"/>
          <w:szCs w:val="24"/>
        </w:rPr>
        <w:t xml:space="preserve"> </w:t>
      </w:r>
      <w:r w:rsidR="00AA4FEF" w:rsidRPr="00850B8A">
        <w:rPr>
          <w:spacing w:val="-4"/>
          <w:szCs w:val="24"/>
        </w:rPr>
        <w:t>Informal action by the Board is still Board action and shall only occur regarding matters that appear on the agenda for the Board meeting during which said informal action is taken.</w:t>
      </w:r>
    </w:p>
    <w:p w14:paraId="1B832434" w14:textId="77777777" w:rsidR="000730AB" w:rsidRPr="00850B8A" w:rsidRDefault="000730AB"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p>
    <w:p w14:paraId="1110931E" w14:textId="77777777" w:rsidR="000730AB" w:rsidRPr="00850B8A" w:rsidRDefault="00697DF8" w:rsidP="0019373A">
      <w:pPr>
        <w:pStyle w:val="CSDAPolicy1"/>
        <w:tabs>
          <w:tab w:val="clear" w:pos="0"/>
          <w:tab w:val="clear" w:pos="810"/>
          <w:tab w:val="clear" w:pos="1800"/>
          <w:tab w:val="clear" w:pos="2160"/>
          <w:tab w:val="clear" w:pos="2880"/>
          <w:tab w:val="clear" w:pos="3600"/>
          <w:tab w:val="clear" w:pos="4320"/>
          <w:tab w:val="clear" w:pos="5040"/>
          <w:tab w:val="clear" w:pos="5760"/>
        </w:tabs>
        <w:ind w:left="1440"/>
        <w:rPr>
          <w:spacing w:val="-4"/>
          <w:szCs w:val="24"/>
        </w:rPr>
      </w:pPr>
      <w:r w:rsidRPr="00850B8A">
        <w:rPr>
          <w:spacing w:val="-4"/>
          <w:szCs w:val="24"/>
        </w:rPr>
        <w:t>4200</w:t>
      </w:r>
      <w:r w:rsidR="0019373A" w:rsidRPr="00850B8A">
        <w:rPr>
          <w:spacing w:val="-4"/>
          <w:szCs w:val="24"/>
        </w:rPr>
        <w:t>.3.4</w:t>
      </w:r>
      <w:r w:rsidR="00A336E2" w:rsidRPr="00850B8A">
        <w:rPr>
          <w:spacing w:val="-4"/>
          <w:szCs w:val="24"/>
        </w:rPr>
        <w:t xml:space="preserve"> </w:t>
      </w:r>
      <w:r w:rsidR="0064413D" w:rsidRPr="00850B8A">
        <w:rPr>
          <w:spacing w:val="-4"/>
          <w:szCs w:val="24"/>
        </w:rPr>
        <w:t>Nothing in this policy prevents the Board from providing direction to the General Manager in response to public comments or under Board member or General Manager comments, as allowed under the Brown Act.</w:t>
      </w:r>
      <w:r w:rsidR="00A336E2" w:rsidRPr="00850B8A">
        <w:rPr>
          <w:spacing w:val="-4"/>
          <w:szCs w:val="24"/>
        </w:rPr>
        <w:t xml:space="preserve"> </w:t>
      </w:r>
      <w:r w:rsidR="0064413D" w:rsidRPr="00850B8A">
        <w:rPr>
          <w:spacing w:val="-4"/>
          <w:szCs w:val="24"/>
        </w:rPr>
        <w:t>No vote or action shall be taken.</w:t>
      </w:r>
    </w:p>
    <w:p w14:paraId="43E8B087" w14:textId="77777777" w:rsidR="000730AB" w:rsidRPr="00850B8A" w:rsidRDefault="000730AB">
      <w:pPr>
        <w:pStyle w:val="CSDAPolicy1"/>
        <w:ind w:left="810" w:hanging="810"/>
        <w:rPr>
          <w:spacing w:val="-4"/>
          <w:szCs w:val="24"/>
        </w:rPr>
      </w:pPr>
    </w:p>
    <w:p w14:paraId="50C90196" w14:textId="77777777" w:rsidR="000730AB" w:rsidRPr="00850B8A" w:rsidRDefault="000730AB">
      <w:pPr>
        <w:pStyle w:val="CSDAPolicy1"/>
        <w:ind w:left="810" w:hanging="810"/>
        <w:rPr>
          <w:spacing w:val="-4"/>
          <w:szCs w:val="24"/>
        </w:rPr>
      </w:pPr>
    </w:p>
    <w:p w14:paraId="4A4EA977" w14:textId="77777777" w:rsidR="000730AB" w:rsidRPr="00850B8A" w:rsidRDefault="000730AB">
      <w:pPr>
        <w:pStyle w:val="CSDAPolicy1"/>
        <w:ind w:left="810" w:hanging="810"/>
        <w:rPr>
          <w:spacing w:val="-4"/>
          <w:szCs w:val="24"/>
        </w:rPr>
      </w:pPr>
    </w:p>
    <w:p w14:paraId="46C80921" w14:textId="77777777" w:rsidR="000730AB" w:rsidRPr="00850B8A" w:rsidRDefault="000730AB">
      <w:pPr>
        <w:pStyle w:val="CSDAPolicy1"/>
        <w:ind w:left="810" w:hanging="810"/>
        <w:rPr>
          <w:spacing w:val="-4"/>
          <w:szCs w:val="24"/>
        </w:rPr>
      </w:pPr>
    </w:p>
    <w:p w14:paraId="03131B19" w14:textId="77777777" w:rsidR="000730AB" w:rsidRPr="00850B8A" w:rsidRDefault="000730AB">
      <w:pPr>
        <w:pStyle w:val="CSDAPolicy1"/>
        <w:ind w:left="810" w:hanging="810"/>
        <w:rPr>
          <w:spacing w:val="-4"/>
          <w:szCs w:val="24"/>
        </w:rPr>
      </w:pPr>
    </w:p>
    <w:p w14:paraId="0F0334F9" w14:textId="77777777" w:rsidR="000730AB" w:rsidRPr="00850B8A" w:rsidRDefault="000730AB">
      <w:pPr>
        <w:pStyle w:val="CSDAPolicy1"/>
        <w:ind w:left="810" w:hanging="810"/>
        <w:rPr>
          <w:spacing w:val="-4"/>
          <w:szCs w:val="24"/>
        </w:rPr>
      </w:pPr>
    </w:p>
    <w:p w14:paraId="0913F25B" w14:textId="77777777" w:rsidR="000730AB" w:rsidRPr="00850B8A" w:rsidRDefault="000730AB">
      <w:pPr>
        <w:pStyle w:val="CSDAPolicy1"/>
        <w:ind w:left="810" w:hanging="810"/>
        <w:rPr>
          <w:spacing w:val="-4"/>
          <w:szCs w:val="24"/>
        </w:rPr>
      </w:pPr>
    </w:p>
    <w:p w14:paraId="5D453285" w14:textId="77777777" w:rsidR="000730AB" w:rsidRPr="00850B8A" w:rsidRDefault="000730AB">
      <w:pPr>
        <w:pStyle w:val="CSDAPolicy1"/>
        <w:ind w:left="810" w:hanging="810"/>
        <w:rPr>
          <w:spacing w:val="-4"/>
          <w:szCs w:val="24"/>
        </w:rPr>
      </w:pPr>
    </w:p>
    <w:p w14:paraId="42B011A0" w14:textId="77777777" w:rsidR="000730AB" w:rsidRPr="00850B8A" w:rsidRDefault="000730AB">
      <w:pPr>
        <w:pStyle w:val="CSDAPolicy1"/>
        <w:ind w:left="810" w:hanging="810"/>
        <w:rPr>
          <w:spacing w:val="-4"/>
          <w:szCs w:val="24"/>
        </w:rPr>
      </w:pPr>
    </w:p>
    <w:p w14:paraId="77A103E2" w14:textId="77777777" w:rsidR="000730AB" w:rsidRPr="00850B8A" w:rsidRDefault="000730AB">
      <w:pPr>
        <w:pStyle w:val="CSDAPolicy1"/>
        <w:ind w:left="810" w:hanging="810"/>
        <w:rPr>
          <w:spacing w:val="-4"/>
          <w:sz w:val="16"/>
          <w:szCs w:val="16"/>
        </w:rPr>
      </w:pPr>
    </w:p>
    <w:p w14:paraId="771EF05B" w14:textId="77777777" w:rsidR="00161EC1" w:rsidRPr="00850B8A" w:rsidRDefault="00161EC1">
      <w:pPr>
        <w:pStyle w:val="CSDAPolicy1"/>
        <w:ind w:left="810" w:hanging="810"/>
        <w:rPr>
          <w:spacing w:val="-4"/>
          <w:szCs w:val="24"/>
        </w:rPr>
      </w:pPr>
    </w:p>
    <w:sectPr w:rsidR="00161EC1" w:rsidRPr="00850B8A" w:rsidSect="003C44E2">
      <w:footerReference w:type="default" r:id="rId13"/>
      <w:endnotePr>
        <w:numFmt w:val="decimal"/>
      </w:endnotePr>
      <w:pgSz w:w="12240" w:h="15840" w:code="1"/>
      <w:pgMar w:top="1440" w:right="1152" w:bottom="1440" w:left="1800" w:header="1152"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4A7DB" w14:textId="77777777" w:rsidR="0050334F" w:rsidRDefault="0050334F">
      <w:r>
        <w:separator/>
      </w:r>
    </w:p>
  </w:endnote>
  <w:endnote w:type="continuationSeparator" w:id="0">
    <w:p w14:paraId="423EA44F" w14:textId="77777777" w:rsidR="0050334F" w:rsidRDefault="00503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96B98" w14:textId="77777777" w:rsidR="00D45C8A" w:rsidRDefault="00D45C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A5D6" w14:textId="3CA92589" w:rsidR="00AA4FEF" w:rsidRPr="00D45C8A" w:rsidRDefault="00D147A0">
    <w:pPr>
      <w:pStyle w:val="Footer"/>
      <w:tabs>
        <w:tab w:val="clear" w:pos="8640"/>
        <w:tab w:val="right" w:pos="9360"/>
      </w:tabs>
      <w:rPr>
        <w:rFonts w:ascii="Arial Narrow" w:hAnsi="Arial Narrow"/>
        <w:sz w:val="24"/>
      </w:rPr>
    </w:pPr>
    <w:r w:rsidRPr="00D45C8A">
      <w:rPr>
        <w:noProof/>
      </w:rPr>
      <w:drawing>
        <wp:anchor distT="0" distB="0" distL="114300" distR="114300" simplePos="0" relativeHeight="251661312" behindDoc="0" locked="0" layoutInCell="1" allowOverlap="1" wp14:anchorId="213B8525" wp14:editId="3F609615">
          <wp:simplePos x="1828800" y="8286750"/>
          <wp:positionH relativeFrom="page">
            <wp:align>left</wp:align>
          </wp:positionH>
          <wp:positionV relativeFrom="page">
            <wp:align>bottom</wp:align>
          </wp:positionV>
          <wp:extent cx="77724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13" cy="1143002"/>
                  </a:xfrm>
                  <a:prstGeom prst="rect">
                    <a:avLst/>
                  </a:prstGeom>
                  <a:noFill/>
                  <a:ln>
                    <a:noFill/>
                  </a:ln>
                </pic:spPr>
              </pic:pic>
            </a:graphicData>
          </a:graphic>
        </wp:anchor>
      </w:drawing>
    </w:r>
    <w:r w:rsidR="008377FD" w:rsidRPr="008377FD">
      <w:rPr>
        <w:noProof/>
        <w:sz w:val="16"/>
      </w:rPr>
      <w:t>{SR563134}</w:t>
    </w:r>
    <w:r w:rsidR="00AA4FEF" w:rsidRPr="00D45C8A">
      <w:tab/>
    </w:r>
    <w:r w:rsidR="00AA4FEF" w:rsidRPr="00D45C8A">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49B92" w14:textId="77777777" w:rsidR="00D45C8A" w:rsidRDefault="00D45C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82AA2" w14:textId="13FEADB5" w:rsidR="00697DF8" w:rsidRPr="00D45C8A" w:rsidRDefault="008377FD">
    <w:pPr>
      <w:pStyle w:val="Footer"/>
      <w:tabs>
        <w:tab w:val="clear" w:pos="8640"/>
        <w:tab w:val="right" w:pos="9360"/>
      </w:tabs>
      <w:rPr>
        <w:rFonts w:ascii="Arial Narrow" w:hAnsi="Arial Narrow"/>
        <w:sz w:val="24"/>
      </w:rPr>
    </w:pPr>
    <w:r w:rsidRPr="008377FD">
      <w:rPr>
        <w:noProof/>
        <w:sz w:val="16"/>
      </w:rPr>
      <w:t>{SR563134}</w:t>
    </w:r>
    <w:r w:rsidR="00697DF8" w:rsidRPr="00D45C8A">
      <w:tab/>
    </w:r>
    <w:r w:rsidR="00697DF8" w:rsidRPr="00D45C8A">
      <w:rPr>
        <w:noProof/>
      </w:rPr>
      <w:drawing>
        <wp:anchor distT="0" distB="0" distL="114300" distR="114300" simplePos="0" relativeHeight="251660288" behindDoc="0" locked="0" layoutInCell="1" allowOverlap="1" wp14:anchorId="69DCDCF2" wp14:editId="59152626">
          <wp:simplePos x="1828800" y="8286750"/>
          <wp:positionH relativeFrom="page">
            <wp:align>left</wp:align>
          </wp:positionH>
          <wp:positionV relativeFrom="page">
            <wp:align>bottom</wp:align>
          </wp:positionV>
          <wp:extent cx="7772400" cy="1143000"/>
          <wp:effectExtent l="0" t="0" r="0" b="0"/>
          <wp:wrapSquare wrapText="bothSides"/>
          <wp:docPr id="4" name="Picture 4"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r w:rsidR="00697DF8" w:rsidRPr="00D45C8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7CB9D" w14:textId="77777777" w:rsidR="0050334F" w:rsidRDefault="0050334F">
      <w:pPr>
        <w:rPr>
          <w:noProof/>
        </w:rPr>
      </w:pPr>
      <w:r>
        <w:rPr>
          <w:noProof/>
        </w:rPr>
        <w:separator/>
      </w:r>
    </w:p>
  </w:footnote>
  <w:footnote w:type="continuationSeparator" w:id="0">
    <w:p w14:paraId="45539294" w14:textId="77777777" w:rsidR="0050334F" w:rsidRDefault="00503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89080" w14:textId="77777777" w:rsidR="00D45C8A" w:rsidRDefault="00D45C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30743" w14:textId="77777777" w:rsidR="00697DF8" w:rsidRDefault="00697DF8">
    <w:pPr>
      <w:pStyle w:val="Header"/>
    </w:pPr>
    <w:r>
      <w:rPr>
        <w:noProof/>
      </w:rPr>
      <w:drawing>
        <wp:anchor distT="0" distB="0" distL="114300" distR="114300" simplePos="0" relativeHeight="251659264" behindDoc="0" locked="0" layoutInCell="1" allowOverlap="1" wp14:anchorId="3CFFD07F" wp14:editId="3CEE68E9">
          <wp:simplePos x="1828800" y="733425"/>
          <wp:positionH relativeFrom="page">
            <wp:align>left</wp:align>
          </wp:positionH>
          <wp:positionV relativeFrom="page">
            <wp:align>top</wp:align>
          </wp:positionV>
          <wp:extent cx="7755165" cy="1371600"/>
          <wp:effectExtent l="0" t="0" r="0" b="0"/>
          <wp:wrapSquare wrapText="bothSides"/>
          <wp:docPr id="2" name="Picture 2" descr="C:\Users\cassandras\AppData\Local\Microsoft\Windows\INetCache\Content.Word\SPH header Board Mee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sandras\AppData\Local\Microsoft\Windows\INetCache\Content.Word\SPH header Board Meeting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9072E" w14:textId="77777777" w:rsidR="00D45C8A" w:rsidRDefault="00D45C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9754DDC"/>
    <w:multiLevelType w:val="singleLevel"/>
    <w:tmpl w:val="6DCCA5CE"/>
    <w:lvl w:ilvl="0">
      <w:start w:val="1"/>
      <w:numFmt w:val="none"/>
      <w:lvlText w:val=""/>
      <w:legacy w:legacy="1" w:legacySpace="0" w:legacyIndent="0"/>
      <w:lvlJc w:val="left"/>
    </w:lvl>
  </w:abstractNum>
  <w:abstractNum w:abstractNumId="13" w15:restartNumberingAfterBreak="0">
    <w:nsid w:val="2A3030A1"/>
    <w:multiLevelType w:val="singleLevel"/>
    <w:tmpl w:val="6DCCA5CE"/>
    <w:lvl w:ilvl="0">
      <w:start w:val="1"/>
      <w:numFmt w:val="none"/>
      <w:lvlText w:val=""/>
      <w:legacy w:legacy="1" w:legacySpace="0" w:legacyIndent="0"/>
      <w:lvlJc w:val="left"/>
    </w:lvl>
  </w:abstractNum>
  <w:abstractNum w:abstractNumId="14" w15:restartNumberingAfterBreak="0">
    <w:nsid w:val="2D9E4A94"/>
    <w:multiLevelType w:val="singleLevel"/>
    <w:tmpl w:val="6DCCA5CE"/>
    <w:lvl w:ilvl="0">
      <w:start w:val="1"/>
      <w:numFmt w:val="none"/>
      <w:lvlText w:val=""/>
      <w:legacy w:legacy="1" w:legacySpace="0" w:legacyIndent="0"/>
      <w:lvlJc w:val="left"/>
    </w:lvl>
  </w:abstractNum>
  <w:abstractNum w:abstractNumId="15" w15:restartNumberingAfterBreak="0">
    <w:nsid w:val="40152EAB"/>
    <w:multiLevelType w:val="singleLevel"/>
    <w:tmpl w:val="2034CD5C"/>
    <w:lvl w:ilvl="0">
      <w:numFmt w:val="decimal"/>
      <w:lvlText w:val="*"/>
      <w:lvlJc w:val="left"/>
    </w:lvl>
  </w:abstractNum>
  <w:abstractNum w:abstractNumId="16" w15:restartNumberingAfterBreak="0">
    <w:nsid w:val="46B310A4"/>
    <w:multiLevelType w:val="singleLevel"/>
    <w:tmpl w:val="6DCCA5CE"/>
    <w:lvl w:ilvl="0">
      <w:start w:val="1"/>
      <w:numFmt w:val="none"/>
      <w:lvlText w:val=""/>
      <w:legacy w:legacy="1" w:legacySpace="0" w:legacyIndent="0"/>
      <w:lvlJc w:val="left"/>
    </w:lvl>
  </w:abstractNum>
  <w:abstractNum w:abstractNumId="17"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8"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9"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5CBE216E"/>
    <w:multiLevelType w:val="singleLevel"/>
    <w:tmpl w:val="6DCCA5CE"/>
    <w:lvl w:ilvl="0">
      <w:start w:val="1"/>
      <w:numFmt w:val="none"/>
      <w:lvlText w:val=""/>
      <w:legacy w:legacy="1" w:legacySpace="0" w:legacyIndent="0"/>
      <w:lvlJc w:val="left"/>
    </w:lvl>
  </w:abstractNum>
  <w:abstractNum w:abstractNumId="21" w15:restartNumberingAfterBreak="0">
    <w:nsid w:val="6E76003D"/>
    <w:multiLevelType w:val="singleLevel"/>
    <w:tmpl w:val="BDF4B83C"/>
    <w:lvl w:ilvl="0">
      <w:numFmt w:val="decimal"/>
      <w:lvlText w:val="*"/>
      <w:lvlJc w:val="left"/>
    </w:lvl>
  </w:abstractNum>
  <w:abstractNum w:abstractNumId="22"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8"/>
  </w:num>
  <w:num w:numId="13">
    <w:abstractNumId w:val="19"/>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7"/>
  </w:num>
  <w:num w:numId="16">
    <w:abstractNumId w:val="20"/>
  </w:num>
  <w:num w:numId="17">
    <w:abstractNumId w:val="11"/>
  </w:num>
  <w:num w:numId="18">
    <w:abstractNumId w:val="19"/>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5"/>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1"/>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6"/>
  </w:num>
  <w:num w:numId="22">
    <w:abstractNumId w:val="14"/>
  </w:num>
  <w:num w:numId="23">
    <w:abstractNumId w:val="13"/>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91"/>
    <w:rsid w:val="00024615"/>
    <w:rsid w:val="00033CA9"/>
    <w:rsid w:val="000730AB"/>
    <w:rsid w:val="000E72EC"/>
    <w:rsid w:val="000F69FA"/>
    <w:rsid w:val="00142520"/>
    <w:rsid w:val="00161EC1"/>
    <w:rsid w:val="0019373A"/>
    <w:rsid w:val="001C4DC9"/>
    <w:rsid w:val="001D6B20"/>
    <w:rsid w:val="00217E8B"/>
    <w:rsid w:val="00247FB9"/>
    <w:rsid w:val="00267306"/>
    <w:rsid w:val="00273D5A"/>
    <w:rsid w:val="00327A55"/>
    <w:rsid w:val="003410F1"/>
    <w:rsid w:val="003C44E2"/>
    <w:rsid w:val="00406691"/>
    <w:rsid w:val="0050334F"/>
    <w:rsid w:val="005C1D14"/>
    <w:rsid w:val="006402F7"/>
    <w:rsid w:val="0064413D"/>
    <w:rsid w:val="00697DF8"/>
    <w:rsid w:val="00776711"/>
    <w:rsid w:val="008377FD"/>
    <w:rsid w:val="00850B8A"/>
    <w:rsid w:val="00867043"/>
    <w:rsid w:val="008D059A"/>
    <w:rsid w:val="00A336E2"/>
    <w:rsid w:val="00AA4FEF"/>
    <w:rsid w:val="00B22995"/>
    <w:rsid w:val="00B33AF2"/>
    <w:rsid w:val="00B771AD"/>
    <w:rsid w:val="00D147A0"/>
    <w:rsid w:val="00D45C8A"/>
    <w:rsid w:val="00D508FA"/>
    <w:rsid w:val="00E115E2"/>
    <w:rsid w:val="00E6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CA76F9"/>
  <w15:chartTrackingRefBased/>
  <w15:docId w15:val="{9B77C394-D96A-407A-ACF0-DEE2F9A6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2513</Characters>
  <Application>Microsoft Office Word</Application>
  <DocSecurity>0</DocSecurity>
  <PresentationFormat/>
  <Lines>20</Lines>
  <Paragraphs>5</Paragraphs>
  <ScaleCrop>false</ScaleCrop>
  <HeadingPairs>
    <vt:vector size="2" baseType="variant">
      <vt:variant>
        <vt:lpstr>Title</vt:lpstr>
      </vt:variant>
      <vt:variant>
        <vt:i4>1</vt:i4>
      </vt:variant>
    </vt:vector>
  </HeadingPairs>
  <TitlesOfParts>
    <vt:vector size="1" baseType="lpstr">
      <vt:lpstr>Special District Association Policy Update-5050 Board Actions  (00475343.DOC;1)</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4200 Board Actions and Decisions - Redline  (SR563134.DOCX;1)</dc:title>
  <dc:subject>SR563134/Font=8</dc:subject>
  <dc:creator>Mike Glaze</dc:creator>
  <cp:keywords/>
  <dc:description/>
  <cp:lastModifiedBy>Emily Cha</cp:lastModifiedBy>
  <cp:revision>2</cp:revision>
  <dcterms:created xsi:type="dcterms:W3CDTF">2021-04-30T19:41:00Z</dcterms:created>
  <dcterms:modified xsi:type="dcterms:W3CDTF">2021-04-30T19:41:00Z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10:00:06 AM</vt:lpwstr>
  </property>
</Properties>
</file>