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FED24" w14:textId="77777777" w:rsidR="007D45CF" w:rsidRPr="0015265D" w:rsidRDefault="00DA4DB9" w:rsidP="007D45CF">
      <w:pPr>
        <w:pStyle w:val="CSDAPolicy1"/>
        <w:rPr>
          <w:b/>
          <w:bCs/>
          <w:spacing w:val="-4"/>
        </w:rPr>
      </w:pPr>
      <w:commentRangeStart w:id="0"/>
      <w:r w:rsidRPr="0015265D">
        <w:rPr>
          <w:b/>
          <w:bCs/>
          <w:spacing w:val="-4"/>
        </w:rPr>
        <w:t>POLI</w:t>
      </w:r>
      <w:r w:rsidR="00C853A7" w:rsidRPr="0015265D">
        <w:rPr>
          <w:b/>
          <w:bCs/>
          <w:spacing w:val="-4"/>
        </w:rPr>
        <w:t>CY</w:t>
      </w:r>
      <w:commentRangeEnd w:id="0"/>
      <w:r w:rsidR="00AF58D1">
        <w:rPr>
          <w:rStyle w:val="CommentReference"/>
        </w:rPr>
        <w:commentReference w:id="0"/>
      </w:r>
      <w:r w:rsidR="00C853A7" w:rsidRPr="0015265D">
        <w:rPr>
          <w:b/>
          <w:bCs/>
          <w:spacing w:val="-4"/>
        </w:rPr>
        <w:t xml:space="preserve"> TITLE:</w:t>
      </w:r>
      <w:r w:rsidR="00C853A7" w:rsidRPr="0015265D">
        <w:rPr>
          <w:b/>
          <w:bCs/>
          <w:spacing w:val="-4"/>
        </w:rPr>
        <w:tab/>
      </w:r>
      <w:r w:rsidR="004665F5" w:rsidRPr="0015265D">
        <w:rPr>
          <w:b/>
          <w:bCs/>
          <w:spacing w:val="-4"/>
        </w:rPr>
        <w:t>Sick Leave</w:t>
      </w:r>
    </w:p>
    <w:p w14:paraId="0CD9505A" w14:textId="77777777" w:rsidR="007D45CF" w:rsidRPr="0015265D" w:rsidRDefault="004665F5" w:rsidP="007D45CF">
      <w:pPr>
        <w:pStyle w:val="CSDAPolicy1"/>
        <w:rPr>
          <w:b/>
          <w:bCs/>
          <w:spacing w:val="-4"/>
        </w:rPr>
      </w:pPr>
      <w:r w:rsidRPr="0015265D">
        <w:rPr>
          <w:b/>
          <w:bCs/>
          <w:spacing w:val="-4"/>
        </w:rPr>
        <w:t>POLICY NUMBER:</w:t>
      </w:r>
      <w:r w:rsidRPr="0015265D">
        <w:rPr>
          <w:b/>
          <w:bCs/>
          <w:spacing w:val="-4"/>
        </w:rPr>
        <w:tab/>
        <w:t>346</w:t>
      </w:r>
      <w:r w:rsidR="00F318EE" w:rsidRPr="0015265D">
        <w:rPr>
          <w:b/>
          <w:bCs/>
          <w:spacing w:val="-4"/>
        </w:rPr>
        <w:t>0</w:t>
      </w:r>
    </w:p>
    <w:p w14:paraId="07EC511C" w14:textId="77777777" w:rsidR="007D45CF" w:rsidRPr="0015265D" w:rsidRDefault="007D45CF" w:rsidP="007D45CF">
      <w:pPr>
        <w:pStyle w:val="CSDAPolicy1"/>
        <w:rPr>
          <w:bCs/>
          <w:spacing w:val="-4"/>
        </w:rPr>
      </w:pPr>
    </w:p>
    <w:p w14:paraId="0FF04C6F" w14:textId="77777777" w:rsidR="007D45CF" w:rsidRPr="0015265D" w:rsidRDefault="007D45CF" w:rsidP="007D45CF">
      <w:pPr>
        <w:pStyle w:val="CSDAPolicy1"/>
        <w:rPr>
          <w:spacing w:val="-4"/>
        </w:rPr>
      </w:pPr>
    </w:p>
    <w:p w14:paraId="10B0E6B7" w14:textId="77777777" w:rsidR="0011466D" w:rsidRPr="0015265D" w:rsidRDefault="0011466D" w:rsidP="0011466D">
      <w:pPr>
        <w:pStyle w:val="CSDAPolicy1"/>
        <w:rPr>
          <w:spacing w:val="-4"/>
          <w:szCs w:val="24"/>
        </w:rPr>
      </w:pPr>
      <w:r w:rsidRPr="0015265D">
        <w:rPr>
          <w:bCs/>
          <w:spacing w:val="-4"/>
        </w:rPr>
        <w:t>3460</w:t>
      </w:r>
      <w:r w:rsidRPr="0015265D">
        <w:rPr>
          <w:spacing w:val="-4"/>
          <w:szCs w:val="24"/>
        </w:rPr>
        <w:t>.1</w:t>
      </w:r>
      <w:r w:rsidRPr="0015265D">
        <w:rPr>
          <w:spacing w:val="-4"/>
          <w:szCs w:val="24"/>
        </w:rPr>
        <w:tab/>
        <w:t>This policy shall apply to probationary and regular employees in all classifications.</w:t>
      </w:r>
    </w:p>
    <w:p w14:paraId="6D8FAA48" w14:textId="77777777" w:rsidR="0011466D" w:rsidRPr="0015265D" w:rsidRDefault="0011466D" w:rsidP="0011466D">
      <w:pPr>
        <w:pStyle w:val="CSDAPolicy1"/>
        <w:rPr>
          <w:spacing w:val="-4"/>
          <w:szCs w:val="24"/>
        </w:rPr>
      </w:pPr>
    </w:p>
    <w:p w14:paraId="3B848803" w14:textId="57F1F783" w:rsidR="0011466D" w:rsidRPr="0015265D" w:rsidRDefault="0011466D" w:rsidP="0011466D">
      <w:pPr>
        <w:pStyle w:val="CSDAPolicy1"/>
        <w:rPr>
          <w:spacing w:val="-4"/>
          <w:szCs w:val="24"/>
        </w:rPr>
      </w:pPr>
      <w:r w:rsidRPr="0015265D">
        <w:rPr>
          <w:bCs/>
          <w:spacing w:val="-4"/>
        </w:rPr>
        <w:t>3460</w:t>
      </w:r>
      <w:r w:rsidRPr="0015265D">
        <w:rPr>
          <w:spacing w:val="-4"/>
          <w:szCs w:val="24"/>
        </w:rPr>
        <w:t>.2</w:t>
      </w:r>
      <w:r w:rsidRPr="0015265D">
        <w:rPr>
          <w:spacing w:val="-4"/>
          <w:szCs w:val="24"/>
        </w:rPr>
        <w:tab/>
        <w:t>Sick leave is defined as absence from work due to illness, non-industrial injury, or quarantine due to exposure to a contagious disease</w:t>
      </w:r>
      <w:r w:rsidR="00461AE7">
        <w:rPr>
          <w:spacing w:val="-4"/>
          <w:szCs w:val="24"/>
        </w:rPr>
        <w:t>, or diagnosis, care, or treatment of an existing health condition of, or preventative care for an employee.</w:t>
      </w:r>
      <w:r w:rsidR="00F9678B" w:rsidRPr="0015265D">
        <w:rPr>
          <w:spacing w:val="-4"/>
          <w:szCs w:val="24"/>
        </w:rPr>
        <w:t xml:space="preserve"> </w:t>
      </w:r>
      <w:r w:rsidRPr="0015265D">
        <w:rPr>
          <w:spacing w:val="-4"/>
          <w:szCs w:val="24"/>
        </w:rPr>
        <w:t>In addition, dentist and doctor appointments and prescribed sickness prevention measures shall be subject to sick leave provided prior notice is provided to [SPECIFY DEPARTMENT, POSITION, PERSON, etc.].</w:t>
      </w:r>
    </w:p>
    <w:p w14:paraId="6662BEAB" w14:textId="77777777" w:rsidR="0011466D" w:rsidRPr="0015265D" w:rsidRDefault="0011466D" w:rsidP="0011466D">
      <w:pPr>
        <w:pStyle w:val="CSDAPolicy1"/>
        <w:rPr>
          <w:spacing w:val="-4"/>
          <w:szCs w:val="24"/>
        </w:rPr>
      </w:pPr>
    </w:p>
    <w:p w14:paraId="75398F51" w14:textId="77777777" w:rsidR="0011466D" w:rsidRPr="0015265D" w:rsidRDefault="0011466D" w:rsidP="0011466D">
      <w:pPr>
        <w:pStyle w:val="CSDAPolicy1"/>
        <w:rPr>
          <w:spacing w:val="-4"/>
          <w:szCs w:val="24"/>
        </w:rPr>
      </w:pPr>
      <w:r w:rsidRPr="0015265D">
        <w:rPr>
          <w:bCs/>
          <w:spacing w:val="-4"/>
        </w:rPr>
        <w:t>3460</w:t>
      </w:r>
      <w:r w:rsidRPr="0015265D">
        <w:rPr>
          <w:spacing w:val="-4"/>
          <w:szCs w:val="24"/>
        </w:rPr>
        <w:t>.3</w:t>
      </w:r>
      <w:r w:rsidRPr="0015265D">
        <w:rPr>
          <w:spacing w:val="-4"/>
          <w:szCs w:val="24"/>
        </w:rPr>
        <w:tab/>
        <w:t xml:space="preserve">Employees shall earn sick leave at the rate of one working day per month, cumulative to a </w:t>
      </w:r>
      <w:proofErr w:type="gramStart"/>
      <w:r w:rsidRPr="0015265D">
        <w:rPr>
          <w:spacing w:val="-4"/>
          <w:szCs w:val="24"/>
        </w:rPr>
        <w:t>maxi-mum</w:t>
      </w:r>
      <w:proofErr w:type="gramEnd"/>
      <w:r w:rsidRPr="0015265D">
        <w:rPr>
          <w:spacing w:val="-4"/>
          <w:szCs w:val="24"/>
        </w:rPr>
        <w:t xml:space="preserve"> of 60 days.</w:t>
      </w:r>
      <w:r w:rsidR="00F9678B" w:rsidRPr="0015265D">
        <w:rPr>
          <w:spacing w:val="-4"/>
          <w:szCs w:val="24"/>
        </w:rPr>
        <w:t xml:space="preserve"> </w:t>
      </w:r>
      <w:r w:rsidRPr="0015265D">
        <w:rPr>
          <w:spacing w:val="-4"/>
          <w:szCs w:val="24"/>
        </w:rPr>
        <w:t>The determination of total accumulated sick leave days shall be made on January 2 of each year.</w:t>
      </w:r>
    </w:p>
    <w:p w14:paraId="3C3C1787" w14:textId="77777777" w:rsidR="0011466D" w:rsidRPr="0015265D" w:rsidRDefault="0011466D" w:rsidP="0011466D">
      <w:pPr>
        <w:pStyle w:val="CSDAPolicy1"/>
        <w:rPr>
          <w:spacing w:val="-4"/>
          <w:szCs w:val="24"/>
        </w:rPr>
      </w:pPr>
    </w:p>
    <w:p w14:paraId="685F6EAE" w14:textId="5F204027" w:rsidR="0011466D" w:rsidRPr="0015265D" w:rsidRDefault="0011466D" w:rsidP="0011466D">
      <w:pPr>
        <w:pStyle w:val="CSDAPolicy1"/>
        <w:rPr>
          <w:spacing w:val="-4"/>
          <w:szCs w:val="24"/>
        </w:rPr>
      </w:pPr>
      <w:r w:rsidRPr="0015265D">
        <w:rPr>
          <w:bCs/>
          <w:spacing w:val="-4"/>
        </w:rPr>
        <w:t>3460</w:t>
      </w:r>
      <w:r w:rsidRPr="0015265D">
        <w:rPr>
          <w:spacing w:val="-4"/>
          <w:szCs w:val="24"/>
        </w:rPr>
        <w:t>.4</w:t>
      </w:r>
      <w:r w:rsidRPr="0015265D">
        <w:rPr>
          <w:spacing w:val="-4"/>
          <w:szCs w:val="24"/>
        </w:rPr>
        <w:tab/>
        <w:t>Each employee may use accrued sick leave, up to half the time accrued per calendar year, as kin care leave, to care for sick family members</w:t>
      </w:r>
      <w:r w:rsidR="00461AE7">
        <w:rPr>
          <w:spacing w:val="-4"/>
          <w:szCs w:val="24"/>
        </w:rPr>
        <w:t xml:space="preserve"> or for the diagnosis, care, or treatment of an existing health condition of, or preventative care for an employee’s family member.</w:t>
      </w:r>
      <w:r w:rsidR="00F9678B" w:rsidRPr="0015265D">
        <w:rPr>
          <w:spacing w:val="-4"/>
          <w:szCs w:val="24"/>
        </w:rPr>
        <w:t xml:space="preserve"> </w:t>
      </w:r>
      <w:r w:rsidRPr="0015265D">
        <w:rPr>
          <w:spacing w:val="-4"/>
          <w:szCs w:val="24"/>
        </w:rPr>
        <w:t>It is provided for those circumstances where the employee must take time off to care for a sick family member, regardless of the seriousness of the illness.</w:t>
      </w:r>
      <w:r w:rsidR="00F9678B" w:rsidRPr="0015265D">
        <w:rPr>
          <w:spacing w:val="-4"/>
          <w:szCs w:val="24"/>
        </w:rPr>
        <w:t xml:space="preserve"> </w:t>
      </w:r>
      <w:r w:rsidRPr="0015265D">
        <w:rPr>
          <w:spacing w:val="-4"/>
          <w:szCs w:val="24"/>
        </w:rPr>
        <w:t xml:space="preserve">Employees should notify their supervisor to the extent feasible </w:t>
      </w:r>
      <w:proofErr w:type="gramStart"/>
      <w:r w:rsidRPr="0015265D">
        <w:rPr>
          <w:spacing w:val="-4"/>
          <w:szCs w:val="24"/>
        </w:rPr>
        <w:t>in order to</w:t>
      </w:r>
      <w:proofErr w:type="gramEnd"/>
      <w:r w:rsidRPr="0015265D">
        <w:rPr>
          <w:spacing w:val="-4"/>
          <w:szCs w:val="24"/>
        </w:rPr>
        <w:t xml:space="preserve"> avoid disruptions in </w:t>
      </w:r>
      <w:proofErr w:type="gramStart"/>
      <w:r w:rsidRPr="0015265D">
        <w:rPr>
          <w:spacing w:val="-4"/>
          <w:szCs w:val="24"/>
        </w:rPr>
        <w:t>work</w:t>
      </w:r>
      <w:proofErr w:type="gramEnd"/>
      <w:r w:rsidRPr="0015265D">
        <w:rPr>
          <w:spacing w:val="-4"/>
          <w:szCs w:val="24"/>
        </w:rPr>
        <w:t xml:space="preserve"> schedule as a result of use of kin care time.</w:t>
      </w:r>
      <w:r w:rsidR="00F9678B" w:rsidRPr="0015265D">
        <w:rPr>
          <w:spacing w:val="-4"/>
          <w:szCs w:val="24"/>
        </w:rPr>
        <w:t xml:space="preserve"> </w:t>
      </w:r>
      <w:r w:rsidRPr="0015265D">
        <w:rPr>
          <w:spacing w:val="-4"/>
          <w:szCs w:val="24"/>
        </w:rPr>
        <w:t>Family members covered include parents, children</w:t>
      </w:r>
      <w:r w:rsidR="00461AE7">
        <w:rPr>
          <w:spacing w:val="-4"/>
          <w:szCs w:val="24"/>
        </w:rPr>
        <w:t>,</w:t>
      </w:r>
      <w:r w:rsidRPr="0015265D">
        <w:rPr>
          <w:spacing w:val="-4"/>
          <w:szCs w:val="24"/>
        </w:rPr>
        <w:t xml:space="preserve"> spouses</w:t>
      </w:r>
      <w:r w:rsidR="00461AE7">
        <w:rPr>
          <w:spacing w:val="-4"/>
          <w:szCs w:val="24"/>
        </w:rPr>
        <w:t>, registered domestic partners, grandparents, grandchildren, or siblings,</w:t>
      </w:r>
      <w:r w:rsidRPr="0015265D">
        <w:rPr>
          <w:spacing w:val="-4"/>
          <w:szCs w:val="24"/>
        </w:rPr>
        <w:t xml:space="preserve"> and are</w:t>
      </w:r>
      <w:r w:rsidR="00461AE7">
        <w:rPr>
          <w:spacing w:val="-4"/>
          <w:szCs w:val="24"/>
        </w:rPr>
        <w:t xml:space="preserve"> further</w:t>
      </w:r>
      <w:r w:rsidRPr="0015265D">
        <w:rPr>
          <w:spacing w:val="-4"/>
          <w:szCs w:val="24"/>
        </w:rPr>
        <w:t xml:space="preserve"> defined as follows:</w:t>
      </w:r>
    </w:p>
    <w:p w14:paraId="302604D8" w14:textId="77777777" w:rsidR="0011466D" w:rsidRPr="0015265D" w:rsidRDefault="0011466D" w:rsidP="0011466D">
      <w:pPr>
        <w:pStyle w:val="CSDAPolicy1"/>
        <w:rPr>
          <w:spacing w:val="-4"/>
          <w:szCs w:val="24"/>
        </w:rPr>
      </w:pPr>
    </w:p>
    <w:p w14:paraId="3D94A112" w14:textId="7CCA0633" w:rsidR="0011466D" w:rsidRPr="0015265D" w:rsidRDefault="0011466D" w:rsidP="0011466D">
      <w:pPr>
        <w:pStyle w:val="CSDAPolicy1"/>
        <w:rPr>
          <w:spacing w:val="-4"/>
          <w:szCs w:val="24"/>
        </w:rPr>
      </w:pPr>
      <w:r w:rsidRPr="0015265D">
        <w:rPr>
          <w:spacing w:val="-4"/>
          <w:szCs w:val="24"/>
        </w:rPr>
        <w:tab/>
      </w:r>
      <w:r w:rsidRPr="0015265D">
        <w:rPr>
          <w:bCs/>
          <w:spacing w:val="-4"/>
        </w:rPr>
        <w:t>3460</w:t>
      </w:r>
      <w:r w:rsidRPr="0015265D">
        <w:rPr>
          <w:spacing w:val="-4"/>
          <w:szCs w:val="24"/>
        </w:rPr>
        <w:t>.4.1</w:t>
      </w:r>
      <w:r w:rsidRPr="0015265D">
        <w:rPr>
          <w:spacing w:val="-4"/>
          <w:szCs w:val="24"/>
        </w:rPr>
        <w:tab/>
        <w:t xml:space="preserve">A “child” means a biological, </w:t>
      </w:r>
      <w:proofErr w:type="gramStart"/>
      <w:r w:rsidRPr="0015265D">
        <w:rPr>
          <w:spacing w:val="-4"/>
          <w:szCs w:val="24"/>
        </w:rPr>
        <w:t>adopted</w:t>
      </w:r>
      <w:proofErr w:type="gramEnd"/>
      <w:r w:rsidRPr="0015265D">
        <w:rPr>
          <w:spacing w:val="-4"/>
          <w:szCs w:val="24"/>
        </w:rPr>
        <w:t xml:space="preserve"> or foster child, a stepchild, a legal ward or a child for whom an employee has accepted the duties and responsibilities of raising, such as where a grandparent raises his/her grandchild</w:t>
      </w:r>
      <w:r w:rsidR="0095785C">
        <w:rPr>
          <w:spacing w:val="-4"/>
          <w:szCs w:val="24"/>
        </w:rPr>
        <w:t>, regardless of age or dependency status.</w:t>
      </w:r>
    </w:p>
    <w:p w14:paraId="09F3F7C6" w14:textId="77777777" w:rsidR="0011466D" w:rsidRPr="0015265D" w:rsidRDefault="0011466D" w:rsidP="0011466D">
      <w:pPr>
        <w:pStyle w:val="CSDAPolicy1"/>
        <w:rPr>
          <w:spacing w:val="-4"/>
          <w:szCs w:val="24"/>
        </w:rPr>
      </w:pPr>
    </w:p>
    <w:p w14:paraId="6F751E4D" w14:textId="77777777" w:rsidR="0011466D" w:rsidRPr="0015265D" w:rsidRDefault="0011466D" w:rsidP="0011466D">
      <w:pPr>
        <w:pStyle w:val="CSDAPolicy1"/>
        <w:rPr>
          <w:spacing w:val="-4"/>
          <w:szCs w:val="24"/>
        </w:rPr>
      </w:pPr>
      <w:r w:rsidRPr="0015265D">
        <w:rPr>
          <w:spacing w:val="-4"/>
          <w:szCs w:val="24"/>
        </w:rPr>
        <w:tab/>
      </w:r>
      <w:r w:rsidRPr="0015265D">
        <w:rPr>
          <w:bCs/>
          <w:spacing w:val="-4"/>
        </w:rPr>
        <w:t>3460</w:t>
      </w:r>
      <w:r w:rsidRPr="0015265D">
        <w:rPr>
          <w:spacing w:val="-4"/>
          <w:szCs w:val="24"/>
        </w:rPr>
        <w:t>.4.2</w:t>
      </w:r>
      <w:r w:rsidRPr="0015265D">
        <w:rPr>
          <w:spacing w:val="-4"/>
          <w:szCs w:val="24"/>
        </w:rPr>
        <w:tab/>
        <w:t xml:space="preserve">A “parent” means a biological, </w:t>
      </w:r>
      <w:proofErr w:type="gramStart"/>
      <w:r w:rsidRPr="0015265D">
        <w:rPr>
          <w:spacing w:val="-4"/>
          <w:szCs w:val="24"/>
        </w:rPr>
        <w:t>foster</w:t>
      </w:r>
      <w:proofErr w:type="gramEnd"/>
      <w:r w:rsidRPr="0015265D">
        <w:rPr>
          <w:spacing w:val="-4"/>
          <w:szCs w:val="24"/>
        </w:rPr>
        <w:t xml:space="preserve"> or adoptive parent, a stepparent or legal guardian.</w:t>
      </w:r>
      <w:r w:rsidR="00F9678B" w:rsidRPr="0015265D">
        <w:rPr>
          <w:spacing w:val="-4"/>
          <w:szCs w:val="24"/>
        </w:rPr>
        <w:t xml:space="preserve"> </w:t>
      </w:r>
      <w:r w:rsidRPr="0015265D">
        <w:rPr>
          <w:spacing w:val="-4"/>
          <w:szCs w:val="24"/>
        </w:rPr>
        <w:t xml:space="preserve">Mothers-in-law, </w:t>
      </w:r>
      <w:proofErr w:type="gramStart"/>
      <w:r w:rsidRPr="0015265D">
        <w:rPr>
          <w:spacing w:val="-4"/>
          <w:szCs w:val="24"/>
        </w:rPr>
        <w:t>fathers-in-law</w:t>
      </w:r>
      <w:proofErr w:type="gramEnd"/>
      <w:r w:rsidRPr="0015265D">
        <w:rPr>
          <w:spacing w:val="-4"/>
          <w:szCs w:val="24"/>
        </w:rPr>
        <w:t xml:space="preserve"> and grandparents are also considered “parents for purposes of this division.</w:t>
      </w:r>
    </w:p>
    <w:p w14:paraId="7B1852BA" w14:textId="77777777" w:rsidR="0011466D" w:rsidRPr="0015265D" w:rsidRDefault="0011466D" w:rsidP="0011466D">
      <w:pPr>
        <w:pStyle w:val="CSDAPolicy1"/>
        <w:rPr>
          <w:spacing w:val="-4"/>
          <w:szCs w:val="24"/>
        </w:rPr>
      </w:pPr>
    </w:p>
    <w:p w14:paraId="6F2A92FE" w14:textId="77777777" w:rsidR="0011466D" w:rsidRPr="0015265D" w:rsidRDefault="0011466D" w:rsidP="0011466D">
      <w:pPr>
        <w:pStyle w:val="CSDAPolicy1"/>
        <w:rPr>
          <w:spacing w:val="-4"/>
          <w:szCs w:val="24"/>
        </w:rPr>
      </w:pPr>
      <w:r w:rsidRPr="0015265D">
        <w:rPr>
          <w:spacing w:val="-4"/>
          <w:szCs w:val="24"/>
        </w:rPr>
        <w:tab/>
      </w:r>
      <w:r w:rsidRPr="0015265D">
        <w:rPr>
          <w:bCs/>
          <w:spacing w:val="-4"/>
        </w:rPr>
        <w:t>3460</w:t>
      </w:r>
      <w:r w:rsidRPr="0015265D">
        <w:rPr>
          <w:spacing w:val="-4"/>
          <w:szCs w:val="24"/>
        </w:rPr>
        <w:t>.4.3</w:t>
      </w:r>
      <w:r w:rsidRPr="0015265D">
        <w:rPr>
          <w:spacing w:val="-4"/>
          <w:szCs w:val="24"/>
        </w:rPr>
        <w:tab/>
        <w:t>The term “spouse” is not defined in the legislation mandating kin care, but presumably applies only to an individual to whom the employee is legally married.</w:t>
      </w:r>
    </w:p>
    <w:p w14:paraId="783759CC" w14:textId="77777777" w:rsidR="00A42938" w:rsidRDefault="00A42938" w:rsidP="0011466D">
      <w:pPr>
        <w:pStyle w:val="CSDAPolicy1"/>
        <w:rPr>
          <w:spacing w:val="-4"/>
          <w:szCs w:val="24"/>
        </w:rPr>
      </w:pPr>
    </w:p>
    <w:p w14:paraId="4ACA8D44" w14:textId="11791BF2" w:rsidR="00461AE7" w:rsidRPr="0015265D" w:rsidRDefault="00461AE7" w:rsidP="0011466D">
      <w:pPr>
        <w:pStyle w:val="CSDAPolicy1"/>
        <w:rPr>
          <w:spacing w:val="-4"/>
          <w:szCs w:val="24"/>
        </w:rPr>
        <w:sectPr w:rsidR="00461AE7" w:rsidRPr="0015265D" w:rsidSect="00CE0A4E">
          <w:headerReference w:type="default" r:id="rId10"/>
          <w:footerReference w:type="default" r:id="rId11"/>
          <w:endnotePr>
            <w:numFmt w:val="decimal"/>
          </w:endnotePr>
          <w:pgSz w:w="12240" w:h="15840" w:code="1"/>
          <w:pgMar w:top="1152" w:right="1152" w:bottom="1152" w:left="1728" w:header="1152" w:footer="720" w:gutter="0"/>
          <w:cols w:space="720"/>
          <w:noEndnote/>
        </w:sectPr>
      </w:pPr>
      <w:r>
        <w:rPr>
          <w:spacing w:val="-4"/>
          <w:szCs w:val="24"/>
        </w:rPr>
        <w:t>3460.5</w:t>
      </w:r>
      <w:r>
        <w:rPr>
          <w:spacing w:val="-4"/>
          <w:szCs w:val="24"/>
        </w:rPr>
        <w:tab/>
        <w:t>Each employee may also use sick leave if they are a victim of domestic violence, sexual assault, or stalking to obtain and relief, including, but not limited to, seeking a temporary restraining order, restraining order, or other injunctive relief, to help ensure the health, safety, or welfare of the victim or their child. Employees may also use sick leave to seek medical attention for injuries caused by crime or abuse, to obtain services from a domestic violence shelter, program, rape crisis center, or victim services organization or agency as a result of the crime or abuse, to obtain</w:t>
      </w:r>
      <w:r w:rsidR="00F0139C">
        <w:rPr>
          <w:spacing w:val="-4"/>
          <w:szCs w:val="24"/>
        </w:rPr>
        <w:t xml:space="preserve"> psychological counseling or mental health services related to an experience of </w:t>
      </w:r>
      <w:r w:rsidR="0095785C">
        <w:rPr>
          <w:spacing w:val="-4"/>
          <w:szCs w:val="24"/>
        </w:rPr>
        <w:t xml:space="preserve"> crime or abuse, or to participate in safety planning and take other actions to increase safety from future crime or abuse, including temporary or permanent relocation.</w:t>
      </w:r>
    </w:p>
    <w:p w14:paraId="579A3D52" w14:textId="77777777" w:rsidR="00A42938" w:rsidRPr="0015265D" w:rsidRDefault="00A42938" w:rsidP="0011466D">
      <w:pPr>
        <w:pStyle w:val="CSDAPolicy1"/>
        <w:rPr>
          <w:spacing w:val="-4"/>
          <w:szCs w:val="24"/>
        </w:rPr>
      </w:pPr>
    </w:p>
    <w:p w14:paraId="149DBBAD" w14:textId="5DF5A812" w:rsidR="00461AE7" w:rsidRDefault="00461AE7" w:rsidP="00461AE7">
      <w:pPr>
        <w:pStyle w:val="CSDAPolicy1"/>
        <w:rPr>
          <w:spacing w:val="-4"/>
          <w:szCs w:val="24"/>
        </w:rPr>
      </w:pPr>
      <w:r w:rsidRPr="0015265D">
        <w:rPr>
          <w:bCs/>
          <w:spacing w:val="-4"/>
        </w:rPr>
        <w:t>3460</w:t>
      </w:r>
      <w:r w:rsidRPr="0015265D">
        <w:rPr>
          <w:spacing w:val="-4"/>
          <w:szCs w:val="24"/>
        </w:rPr>
        <w:t>.</w:t>
      </w:r>
      <w:r w:rsidR="0095785C">
        <w:rPr>
          <w:spacing w:val="-4"/>
          <w:szCs w:val="24"/>
        </w:rPr>
        <w:t>6</w:t>
      </w:r>
      <w:r w:rsidRPr="0015265D">
        <w:rPr>
          <w:spacing w:val="-4"/>
          <w:szCs w:val="24"/>
        </w:rPr>
        <w:tab/>
        <w:t xml:space="preserve">In order to receive compensation while on sick leave, the employee shall notify his/her supervisor prior to the time for beginning the regular </w:t>
      </w:r>
      <w:proofErr w:type="gramStart"/>
      <w:r w:rsidRPr="0015265D">
        <w:rPr>
          <w:spacing w:val="-4"/>
          <w:szCs w:val="24"/>
        </w:rPr>
        <w:t>work day</w:t>
      </w:r>
      <w:proofErr w:type="gramEnd"/>
      <w:r w:rsidRPr="0015265D">
        <w:rPr>
          <w:spacing w:val="-4"/>
          <w:szCs w:val="24"/>
        </w:rPr>
        <w:t>, or as soon thereafter as practical.</w:t>
      </w:r>
      <w:r w:rsidR="0095785C">
        <w:rPr>
          <w:spacing w:val="-4"/>
          <w:szCs w:val="24"/>
        </w:rPr>
        <w:t xml:space="preserve"> The designation of sick leave taken shall be made at the sole discretion of the employee.</w:t>
      </w:r>
    </w:p>
    <w:p w14:paraId="55AABD1A" w14:textId="12256A76" w:rsidR="00461AE7" w:rsidRDefault="00461AE7" w:rsidP="00461AE7">
      <w:pPr>
        <w:pStyle w:val="CSDAPolicy1"/>
        <w:rPr>
          <w:spacing w:val="-4"/>
          <w:szCs w:val="24"/>
        </w:rPr>
      </w:pPr>
    </w:p>
    <w:p w14:paraId="4071E671" w14:textId="3A6F59AF" w:rsidR="00461AE7" w:rsidRDefault="00461AE7" w:rsidP="00461AE7">
      <w:pPr>
        <w:pStyle w:val="CSDAPolicy1"/>
        <w:rPr>
          <w:spacing w:val="-4"/>
          <w:szCs w:val="24"/>
        </w:rPr>
      </w:pPr>
      <w:r>
        <w:rPr>
          <w:spacing w:val="-4"/>
          <w:szCs w:val="24"/>
        </w:rPr>
        <w:t>3460.</w:t>
      </w:r>
      <w:r w:rsidR="0095785C">
        <w:rPr>
          <w:spacing w:val="-4"/>
          <w:szCs w:val="24"/>
        </w:rPr>
        <w:t>7</w:t>
      </w:r>
      <w:r>
        <w:rPr>
          <w:spacing w:val="-4"/>
          <w:szCs w:val="24"/>
        </w:rPr>
        <w:tab/>
        <w:t xml:space="preserve">If absence from duty by reason of illness occurs, satisfactory evidence may be required by the </w:t>
      </w:r>
      <w:r w:rsidR="006619AC">
        <w:rPr>
          <w:spacing w:val="-4"/>
          <w:szCs w:val="24"/>
        </w:rPr>
        <w:t>General Manager</w:t>
      </w:r>
      <w:r>
        <w:rPr>
          <w:spacing w:val="-4"/>
          <w:szCs w:val="24"/>
        </w:rPr>
        <w:t xml:space="preserve"> or other responsible managing employee</w:t>
      </w:r>
      <w:r w:rsidR="006619AC">
        <w:rPr>
          <w:spacing w:val="-4"/>
          <w:szCs w:val="24"/>
        </w:rPr>
        <w:t>.</w:t>
      </w:r>
    </w:p>
    <w:p w14:paraId="09842F4B" w14:textId="343DAC5B" w:rsidR="00461AE7" w:rsidRDefault="00461AE7" w:rsidP="00461AE7">
      <w:pPr>
        <w:pStyle w:val="CSDAPolicy1"/>
        <w:rPr>
          <w:spacing w:val="-4"/>
          <w:szCs w:val="24"/>
        </w:rPr>
      </w:pPr>
    </w:p>
    <w:p w14:paraId="3D09F587" w14:textId="627A38D6" w:rsidR="0095785C" w:rsidRDefault="0095785C" w:rsidP="00461AE7">
      <w:pPr>
        <w:pStyle w:val="CSDAPolicy1"/>
        <w:rPr>
          <w:spacing w:val="-4"/>
          <w:szCs w:val="24"/>
        </w:rPr>
      </w:pPr>
      <w:r>
        <w:rPr>
          <w:spacing w:val="-4"/>
          <w:szCs w:val="24"/>
        </w:rPr>
        <w:t>[OPTIONAL]</w:t>
      </w:r>
    </w:p>
    <w:p w14:paraId="6EA42A61" w14:textId="77777777" w:rsidR="0095785C" w:rsidRDefault="0095785C" w:rsidP="00461AE7">
      <w:pPr>
        <w:pStyle w:val="CSDAPolicy1"/>
        <w:rPr>
          <w:spacing w:val="-4"/>
          <w:szCs w:val="24"/>
        </w:rPr>
      </w:pPr>
    </w:p>
    <w:p w14:paraId="74327AA8" w14:textId="77777777" w:rsidR="00461AE7" w:rsidRDefault="00461AE7" w:rsidP="00461AE7">
      <w:pPr>
        <w:pStyle w:val="CSDAPolicy1"/>
        <w:rPr>
          <w:spacing w:val="-4"/>
          <w:szCs w:val="24"/>
        </w:rPr>
      </w:pPr>
      <w:r w:rsidRPr="0015265D">
        <w:rPr>
          <w:bCs/>
          <w:spacing w:val="-4"/>
        </w:rPr>
        <w:t>3460</w:t>
      </w:r>
      <w:r w:rsidRPr="0015265D">
        <w:rPr>
          <w:spacing w:val="-4"/>
          <w:szCs w:val="24"/>
        </w:rPr>
        <w:t>.</w:t>
      </w:r>
      <w:r>
        <w:rPr>
          <w:spacing w:val="-4"/>
          <w:szCs w:val="24"/>
        </w:rPr>
        <w:t>8</w:t>
      </w:r>
      <w:r w:rsidRPr="0015265D">
        <w:rPr>
          <w:spacing w:val="-4"/>
          <w:szCs w:val="24"/>
        </w:rPr>
        <w:tab/>
        <w:t xml:space="preserve">Unused sick-leave time may be "bought back" by the </w:t>
      </w:r>
      <w:proofErr w:type="gramStart"/>
      <w:r w:rsidRPr="0015265D">
        <w:rPr>
          <w:spacing w:val="-4"/>
          <w:szCs w:val="24"/>
        </w:rPr>
        <w:t>District</w:t>
      </w:r>
      <w:proofErr w:type="gramEnd"/>
      <w:r w:rsidRPr="0015265D">
        <w:rPr>
          <w:spacing w:val="-4"/>
          <w:szCs w:val="24"/>
        </w:rPr>
        <w:t xml:space="preserve"> at a rate of one-half (½) day [specify whatever rate your district provides] for each whole day accrued. Said buy back shall be limited only to time over and above 30 days of accrued sick leave. No more than 12 days of accrued sick leave shall be bought back in any given calendar year unless employment is terminated for non-cause reasons, in which case all accrued sick leave over and above 30 days shall be bought back at said one-half (½) rate. Termination for cause shall result in loss of all accrued sick leave.</w:t>
      </w:r>
    </w:p>
    <w:p w14:paraId="236665D1" w14:textId="77777777" w:rsidR="00461AE7" w:rsidRPr="0015265D" w:rsidRDefault="00461AE7" w:rsidP="00461AE7">
      <w:pPr>
        <w:pStyle w:val="CSDAPolicy1"/>
        <w:rPr>
          <w:spacing w:val="-4"/>
          <w:szCs w:val="24"/>
        </w:rPr>
      </w:pPr>
    </w:p>
    <w:p w14:paraId="6B12102D" w14:textId="77777777" w:rsidR="00461AE7" w:rsidRDefault="00461AE7" w:rsidP="0011466D">
      <w:pPr>
        <w:pStyle w:val="CSDAPolicy1"/>
        <w:rPr>
          <w:spacing w:val="-4"/>
          <w:szCs w:val="24"/>
        </w:rPr>
      </w:pPr>
    </w:p>
    <w:p w14:paraId="33AF095B" w14:textId="77777777" w:rsidR="00461AE7" w:rsidRDefault="00461AE7" w:rsidP="0011466D">
      <w:pPr>
        <w:pStyle w:val="CSDAPolicy1"/>
        <w:rPr>
          <w:spacing w:val="-4"/>
          <w:szCs w:val="24"/>
        </w:rPr>
      </w:pPr>
    </w:p>
    <w:p w14:paraId="67018975" w14:textId="77777777" w:rsidR="00461AE7" w:rsidRDefault="00461AE7" w:rsidP="0011466D">
      <w:pPr>
        <w:pStyle w:val="CSDAPolicy1"/>
        <w:rPr>
          <w:spacing w:val="-4"/>
          <w:szCs w:val="24"/>
        </w:rPr>
      </w:pPr>
    </w:p>
    <w:p w14:paraId="4F2C8C8D" w14:textId="77777777" w:rsidR="001456ED" w:rsidRPr="0015265D" w:rsidRDefault="001456ED" w:rsidP="001456ED">
      <w:pPr>
        <w:pStyle w:val="CSDAPolicy1"/>
        <w:rPr>
          <w:spacing w:val="-4"/>
          <w:szCs w:val="24"/>
        </w:rPr>
      </w:pPr>
    </w:p>
    <w:sectPr w:rsidR="001456ED" w:rsidRPr="0015265D">
      <w:footerReference w:type="default" r:id="rId12"/>
      <w:endnotePr>
        <w:numFmt w:val="decimal"/>
      </w:endnotePr>
      <w:pgSz w:w="12240" w:h="15840" w:code="1"/>
      <w:pgMar w:top="1152" w:right="1152" w:bottom="1152" w:left="1728" w:header="1152"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7E0FAC71" w14:textId="77777777" w:rsidR="00972BDB" w:rsidRDefault="00AF58D1" w:rsidP="00972BDB">
      <w:pPr>
        <w:pStyle w:val="CommentText"/>
        <w:ind w:left="0"/>
      </w:pPr>
      <w:r>
        <w:rPr>
          <w:rStyle w:val="CommentReference"/>
        </w:rPr>
        <w:annotationRef/>
      </w:r>
      <w:r w:rsidR="00972BDB">
        <w:t>This section has many items needing analysis as to reflect appropriate current practices or desired future practices.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E0FAC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0FAC71" w16cid:durableId="68FF89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0D4B" w14:textId="77777777" w:rsidR="00CE0A4E" w:rsidRDefault="00CE0A4E">
      <w:r>
        <w:separator/>
      </w:r>
    </w:p>
  </w:endnote>
  <w:endnote w:type="continuationSeparator" w:id="0">
    <w:p w14:paraId="14B9ECE4" w14:textId="77777777" w:rsidR="00CE0A4E" w:rsidRDefault="00CE0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D8486" w14:textId="77777777" w:rsidR="00F318EE" w:rsidRDefault="0008450A" w:rsidP="00F50021">
    <w:pPr>
      <w:tabs>
        <w:tab w:val="center" w:pos="4680"/>
        <w:tab w:val="right" w:pos="9360"/>
      </w:tabs>
      <w:rPr>
        <w:rFonts w:ascii="Arial Narrow" w:hAnsi="Arial Narrow"/>
        <w:sz w:val="24"/>
      </w:rPr>
    </w:pPr>
    <w:r w:rsidRPr="0008450A">
      <w:rPr>
        <w:rFonts w:ascii="Arial Narrow" w:hAnsi="Arial Narrow"/>
        <w:noProof/>
        <w:sz w:val="16"/>
        <w:szCs w:val="16"/>
      </w:rPr>
      <w:drawing>
        <wp:anchor distT="0" distB="0" distL="114300" distR="114300" simplePos="0" relativeHeight="251667456" behindDoc="0" locked="0" layoutInCell="1" allowOverlap="1" wp14:anchorId="241D8A36" wp14:editId="7E16F518">
          <wp:simplePos x="1781175" y="8286750"/>
          <wp:positionH relativeFrom="page">
            <wp:align>left</wp:align>
          </wp:positionH>
          <wp:positionV relativeFrom="page">
            <wp:align>bottom</wp:align>
          </wp:positionV>
          <wp:extent cx="777240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13" cy="1143002"/>
                  </a:xfrm>
                  <a:prstGeom prst="rect">
                    <a:avLst/>
                  </a:prstGeom>
                  <a:noFill/>
                  <a:ln>
                    <a:noFill/>
                  </a:ln>
                </pic:spPr>
              </pic:pic>
            </a:graphicData>
          </a:graphic>
        </wp:anchor>
      </w:drawing>
    </w:r>
    <w:r w:rsidR="00F318EE">
      <w:rPr>
        <w:rFonts w:ascii="Arial Narrow" w:hAnsi="Arial Narrow"/>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83EE2" w14:textId="77777777" w:rsidR="00A42938" w:rsidRDefault="00A42938" w:rsidP="00F50021">
    <w:pPr>
      <w:tabs>
        <w:tab w:val="center" w:pos="4680"/>
        <w:tab w:val="right" w:pos="9360"/>
      </w:tabs>
      <w:rPr>
        <w:rFonts w:ascii="Arial Narrow" w:hAnsi="Arial Narrow"/>
        <w:sz w:val="24"/>
      </w:rPr>
    </w:pPr>
    <w:r>
      <w:rPr>
        <w:noProof/>
      </w:rPr>
      <w:drawing>
        <wp:inline distT="0" distB="0" distL="0" distR="0" wp14:anchorId="2A7FA49D" wp14:editId="7DDADEB1">
          <wp:extent cx="5943600" cy="874059"/>
          <wp:effectExtent l="0" t="0" r="0" b="0"/>
          <wp:docPr id="9" name="Picture 9" descr="C:\Users\cassandras\AppData\Local\Microsoft\Windows\INetCache\Content.Word\SPH footer KMT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footer KMT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74059"/>
                  </a:xfrm>
                  <a:prstGeom prst="rect">
                    <a:avLst/>
                  </a:prstGeom>
                  <a:noFill/>
                  <a:ln>
                    <a:noFill/>
                  </a:ln>
                </pic:spPr>
              </pic:pic>
            </a:graphicData>
          </a:graphic>
        </wp:inline>
      </w:drawing>
    </w:r>
    <w:r>
      <w:rPr>
        <w:rFonts w:ascii="Arial Narrow" w:hAnsi="Arial Narrow"/>
        <w:sz w:val="16"/>
        <w:szCs w:val="16"/>
      </w:rPr>
      <w:tab/>
    </w:r>
    <w:r w:rsidRPr="00F318EE">
      <w:rPr>
        <w:rFonts w:ascii="Arial Narrow" w:hAnsi="Arial Narrow"/>
        <w:noProof/>
        <w:sz w:val="16"/>
        <w:szCs w:val="16"/>
      </w:rPr>
      <w:drawing>
        <wp:anchor distT="0" distB="0" distL="114300" distR="114300" simplePos="0" relativeHeight="251666432" behindDoc="0" locked="0" layoutInCell="1" allowOverlap="1" wp14:anchorId="509E2D54" wp14:editId="5F3DC143">
          <wp:simplePos x="1781175" y="8458200"/>
          <wp:positionH relativeFrom="page">
            <wp:align>left</wp:align>
          </wp:positionH>
          <wp:positionV relativeFrom="page">
            <wp:align>bottom</wp:align>
          </wp:positionV>
          <wp:extent cx="7772400" cy="1143000"/>
          <wp:effectExtent l="0" t="0" r="0" b="0"/>
          <wp:wrapSquare wrapText="bothSides"/>
          <wp:docPr id="10" name="Picture 10"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EDD49" w14:textId="77777777" w:rsidR="00CE0A4E" w:rsidRDefault="00CE0A4E">
      <w:r>
        <w:separator/>
      </w:r>
    </w:p>
  </w:footnote>
  <w:footnote w:type="continuationSeparator" w:id="0">
    <w:p w14:paraId="61E3C078" w14:textId="77777777" w:rsidR="00CE0A4E" w:rsidRDefault="00CE0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DB5F4" w14:textId="77777777" w:rsidR="00A42938" w:rsidRPr="00A42938" w:rsidRDefault="00A42938" w:rsidP="00A42938">
    <w:pPr>
      <w:pStyle w:val="Header"/>
    </w:pPr>
    <w:r>
      <w:rPr>
        <w:noProof/>
      </w:rPr>
      <w:drawing>
        <wp:anchor distT="0" distB="0" distL="114300" distR="114300" simplePos="0" relativeHeight="251664384" behindDoc="0" locked="0" layoutInCell="1" allowOverlap="1" wp14:anchorId="088043B1" wp14:editId="3BB183E4">
          <wp:simplePos x="1781175" y="733425"/>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BF25134"/>
    <w:multiLevelType w:val="singleLevel"/>
    <w:tmpl w:val="6DCCA5CE"/>
    <w:lvl w:ilvl="0">
      <w:start w:val="1"/>
      <w:numFmt w:val="none"/>
      <w:lvlText w:val=""/>
      <w:legacy w:legacy="1" w:legacySpace="0" w:legacyIndent="0"/>
      <w:lvlJc w:val="left"/>
    </w:lvl>
  </w:abstractNum>
  <w:num w:numId="1" w16cid:durableId="1241676460">
    <w:abstractNumId w:val="9"/>
  </w:num>
  <w:num w:numId="2" w16cid:durableId="566886823">
    <w:abstractNumId w:val="7"/>
  </w:num>
  <w:num w:numId="3" w16cid:durableId="1351182700">
    <w:abstractNumId w:val="6"/>
  </w:num>
  <w:num w:numId="4" w16cid:durableId="838079337">
    <w:abstractNumId w:val="5"/>
  </w:num>
  <w:num w:numId="5" w16cid:durableId="95290922">
    <w:abstractNumId w:val="4"/>
  </w:num>
  <w:num w:numId="6" w16cid:durableId="491486365">
    <w:abstractNumId w:val="8"/>
  </w:num>
  <w:num w:numId="7" w16cid:durableId="435709431">
    <w:abstractNumId w:val="3"/>
  </w:num>
  <w:num w:numId="8" w16cid:durableId="1529028479">
    <w:abstractNumId w:val="2"/>
  </w:num>
  <w:num w:numId="9" w16cid:durableId="1162113646">
    <w:abstractNumId w:val="1"/>
  </w:num>
  <w:num w:numId="10" w16cid:durableId="992105368">
    <w:abstractNumId w:val="0"/>
  </w:num>
  <w:num w:numId="11" w16cid:durableId="1809662793">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661082474">
    <w:abstractNumId w:val="19"/>
  </w:num>
  <w:num w:numId="13" w16cid:durableId="23332011">
    <w:abstractNumId w:val="21"/>
  </w:num>
  <w:num w:numId="14" w16cid:durableId="1421561743">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718356235">
    <w:abstractNumId w:val="18"/>
  </w:num>
  <w:num w:numId="16" w16cid:durableId="180553672">
    <w:abstractNumId w:val="22"/>
  </w:num>
  <w:num w:numId="17" w16cid:durableId="1555895052">
    <w:abstractNumId w:val="12"/>
  </w:num>
  <w:num w:numId="18" w16cid:durableId="512257483">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1544713306">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1083532202">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950866247">
    <w:abstractNumId w:val="17"/>
  </w:num>
  <w:num w:numId="22" w16cid:durableId="1086537591">
    <w:abstractNumId w:val="15"/>
  </w:num>
  <w:num w:numId="23" w16cid:durableId="254440548">
    <w:abstractNumId w:val="14"/>
  </w:num>
  <w:num w:numId="24" w16cid:durableId="316687351">
    <w:abstractNumId w:val="30"/>
  </w:num>
  <w:num w:numId="25" w16cid:durableId="273682670">
    <w:abstractNumId w:val="13"/>
  </w:num>
  <w:num w:numId="26" w16cid:durableId="582689055">
    <w:abstractNumId w:val="11"/>
  </w:num>
  <w:num w:numId="27" w16cid:durableId="605306541">
    <w:abstractNumId w:val="27"/>
  </w:num>
  <w:num w:numId="28" w16cid:durableId="576787961">
    <w:abstractNumId w:val="24"/>
  </w:num>
  <w:num w:numId="29" w16cid:durableId="1832134802">
    <w:abstractNumId w:val="20"/>
  </w:num>
  <w:num w:numId="30" w16cid:durableId="1553299458">
    <w:abstractNumId w:val="23"/>
  </w:num>
  <w:num w:numId="31" w16cid:durableId="1595744913">
    <w:abstractNumId w:val="28"/>
  </w:num>
  <w:num w:numId="32" w16cid:durableId="2004115232">
    <w:abstractNumId w:val="25"/>
  </w:num>
  <w:num w:numId="33" w16cid:durableId="133178589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B1"/>
    <w:rsid w:val="00022084"/>
    <w:rsid w:val="00071FEE"/>
    <w:rsid w:val="0008450A"/>
    <w:rsid w:val="0011466D"/>
    <w:rsid w:val="001456ED"/>
    <w:rsid w:val="0015265D"/>
    <w:rsid w:val="002D2A31"/>
    <w:rsid w:val="002F2E96"/>
    <w:rsid w:val="002F6869"/>
    <w:rsid w:val="00352BAF"/>
    <w:rsid w:val="00385B3B"/>
    <w:rsid w:val="00397F38"/>
    <w:rsid w:val="003A2C65"/>
    <w:rsid w:val="00461AE7"/>
    <w:rsid w:val="004665F5"/>
    <w:rsid w:val="00502CB1"/>
    <w:rsid w:val="005808AC"/>
    <w:rsid w:val="006619AC"/>
    <w:rsid w:val="007D45CF"/>
    <w:rsid w:val="008100C8"/>
    <w:rsid w:val="00873AB6"/>
    <w:rsid w:val="0095785C"/>
    <w:rsid w:val="00972BDB"/>
    <w:rsid w:val="00992A80"/>
    <w:rsid w:val="009D0EEF"/>
    <w:rsid w:val="00A37891"/>
    <w:rsid w:val="00A42938"/>
    <w:rsid w:val="00AF58D1"/>
    <w:rsid w:val="00B86F01"/>
    <w:rsid w:val="00BA4B2C"/>
    <w:rsid w:val="00C321D9"/>
    <w:rsid w:val="00C853A7"/>
    <w:rsid w:val="00CE0A4E"/>
    <w:rsid w:val="00D56A90"/>
    <w:rsid w:val="00D964AA"/>
    <w:rsid w:val="00DA4DB9"/>
    <w:rsid w:val="00DF131C"/>
    <w:rsid w:val="00E468F8"/>
    <w:rsid w:val="00E52B39"/>
    <w:rsid w:val="00E91041"/>
    <w:rsid w:val="00F0139C"/>
    <w:rsid w:val="00F23480"/>
    <w:rsid w:val="00F318EE"/>
    <w:rsid w:val="00F43B6A"/>
    <w:rsid w:val="00F50021"/>
    <w:rsid w:val="00F716A6"/>
    <w:rsid w:val="00F96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0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link w:val="FootnoteBaseChar"/>
    <w:pPr>
      <w:keepLines/>
      <w:spacing w:line="200" w:lineRule="atLeast"/>
    </w:pPr>
    <w:rPr>
      <w:sz w:val="16"/>
    </w:rPr>
  </w:style>
  <w:style w:type="paragraph" w:styleId="CommentText">
    <w:name w:val="annotation text"/>
    <w:basedOn w:val="FootnoteBase"/>
    <w:link w:val="CommentTextChar"/>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 w:type="paragraph" w:styleId="CommentSubject">
    <w:name w:val="annotation subject"/>
    <w:basedOn w:val="CommentText"/>
    <w:next w:val="CommentText"/>
    <w:link w:val="CommentSubjectChar"/>
    <w:semiHidden/>
    <w:unhideWhenUsed/>
    <w:rsid w:val="00AF58D1"/>
    <w:pPr>
      <w:keepLines w:val="0"/>
      <w:spacing w:line="240" w:lineRule="auto"/>
    </w:pPr>
    <w:rPr>
      <w:b/>
      <w:bCs/>
      <w:sz w:val="20"/>
    </w:rPr>
  </w:style>
  <w:style w:type="character" w:customStyle="1" w:styleId="FootnoteBaseChar">
    <w:name w:val="Footnote Base Char"/>
    <w:basedOn w:val="DefaultParagraphFont"/>
    <w:link w:val="FootnoteBase"/>
    <w:rsid w:val="00AF58D1"/>
    <w:rPr>
      <w:rFonts w:ascii="Arial" w:hAnsi="Arial"/>
      <w:spacing w:val="-5"/>
      <w:sz w:val="16"/>
    </w:rPr>
  </w:style>
  <w:style w:type="character" w:customStyle="1" w:styleId="CommentTextChar">
    <w:name w:val="Comment Text Char"/>
    <w:basedOn w:val="FootnoteBaseChar"/>
    <w:link w:val="CommentText"/>
    <w:semiHidden/>
    <w:rsid w:val="00AF58D1"/>
    <w:rPr>
      <w:rFonts w:ascii="Arial" w:hAnsi="Arial"/>
      <w:spacing w:val="-5"/>
      <w:sz w:val="16"/>
    </w:rPr>
  </w:style>
  <w:style w:type="character" w:customStyle="1" w:styleId="CommentSubjectChar">
    <w:name w:val="Comment Subject Char"/>
    <w:basedOn w:val="CommentTextChar"/>
    <w:link w:val="CommentSubject"/>
    <w:semiHidden/>
    <w:rsid w:val="00AF58D1"/>
    <w:rPr>
      <w:rFonts w:ascii="Arial" w:hAnsi="Arial"/>
      <w:b/>
      <w:bCs/>
      <w:spacing w:val="-5"/>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2021-09-30T17:01:00Z</dcterms:created>
  <dcterms:modified xsi:type="dcterms:W3CDTF">2024-04-22T16:26:00Z</dcterms:modified>
</cp:coreProperties>
</file>