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1E262" w14:textId="73DD7496" w:rsidR="00C13903" w:rsidRPr="004522BB" w:rsidRDefault="00C13903">
      <w:pPr>
        <w:pStyle w:val="CSDAPolicy1"/>
        <w:rPr>
          <w:b/>
          <w:bCs/>
          <w:spacing w:val="-4"/>
        </w:rPr>
      </w:pPr>
      <w:r w:rsidRPr="004522BB">
        <w:rPr>
          <w:b/>
          <w:bCs/>
          <w:spacing w:val="-4"/>
        </w:rPr>
        <w:t>POLICY TITLE:</w:t>
      </w:r>
      <w:r w:rsidRPr="004522BB">
        <w:rPr>
          <w:b/>
          <w:bCs/>
          <w:spacing w:val="-4"/>
        </w:rPr>
        <w:tab/>
      </w:r>
      <w:r w:rsidR="002F6A90" w:rsidRPr="004522BB">
        <w:rPr>
          <w:b/>
          <w:bCs/>
          <w:spacing w:val="-4"/>
        </w:rPr>
        <w:t>Members of the Board of Directors</w:t>
      </w:r>
    </w:p>
    <w:p w14:paraId="1C967DAE" w14:textId="3BCB0585" w:rsidR="00C13903" w:rsidRPr="004522BB" w:rsidRDefault="00C13903">
      <w:pPr>
        <w:pStyle w:val="CSDAPolicy1"/>
        <w:rPr>
          <w:b/>
          <w:bCs/>
          <w:spacing w:val="-4"/>
        </w:rPr>
      </w:pPr>
      <w:r w:rsidRPr="004522BB">
        <w:rPr>
          <w:b/>
          <w:bCs/>
          <w:spacing w:val="-4"/>
        </w:rPr>
        <w:t>POLICY NUMBER:</w:t>
      </w:r>
      <w:r w:rsidRPr="004522BB">
        <w:rPr>
          <w:b/>
          <w:bCs/>
          <w:spacing w:val="-4"/>
        </w:rPr>
        <w:tab/>
        <w:t>4</w:t>
      </w:r>
      <w:r w:rsidR="00216475" w:rsidRPr="004522BB">
        <w:rPr>
          <w:b/>
          <w:bCs/>
          <w:spacing w:val="-4"/>
        </w:rPr>
        <w:t>1</w:t>
      </w:r>
      <w:r w:rsidR="002F6A90" w:rsidRPr="004522BB">
        <w:rPr>
          <w:b/>
          <w:bCs/>
          <w:spacing w:val="-4"/>
        </w:rPr>
        <w:t>20</w:t>
      </w:r>
    </w:p>
    <w:p w14:paraId="546038E7" w14:textId="77777777" w:rsidR="00C13903" w:rsidRPr="004522BB" w:rsidRDefault="00C13903">
      <w:pPr>
        <w:pStyle w:val="CSDAPolicy1"/>
        <w:rPr>
          <w:bCs/>
          <w:spacing w:val="-4"/>
        </w:rPr>
      </w:pPr>
    </w:p>
    <w:p w14:paraId="0A73D4B5" w14:textId="77777777" w:rsidR="00C13903" w:rsidRPr="004522BB" w:rsidRDefault="00C13903">
      <w:pPr>
        <w:pStyle w:val="CSDAPolicy1"/>
        <w:rPr>
          <w:spacing w:val="-4"/>
        </w:rPr>
      </w:pPr>
    </w:p>
    <w:p w14:paraId="18B3CE9E" w14:textId="22C46D99" w:rsidR="002F6A90" w:rsidRPr="004522BB" w:rsidRDefault="004522BB" w:rsidP="002F6A90">
      <w:pPr>
        <w:pStyle w:val="CSDAPolicy1"/>
        <w:rPr>
          <w:bCs/>
          <w:spacing w:val="-4"/>
        </w:rPr>
      </w:pPr>
      <w:r>
        <w:rPr>
          <w:bCs/>
          <w:spacing w:val="-4"/>
        </w:rPr>
        <w:t>4120.1</w:t>
      </w:r>
      <w:r>
        <w:rPr>
          <w:bCs/>
          <w:spacing w:val="-4"/>
        </w:rPr>
        <w:tab/>
        <w:t>Meeting Preparation:</w:t>
      </w:r>
    </w:p>
    <w:p w14:paraId="450A32FA" w14:textId="77777777" w:rsidR="002F6A90" w:rsidRPr="004522BB" w:rsidRDefault="002F6A90" w:rsidP="002F6A90">
      <w:pPr>
        <w:pStyle w:val="CSDAPolicy1"/>
        <w:rPr>
          <w:bCs/>
          <w:spacing w:val="-4"/>
        </w:rPr>
      </w:pPr>
    </w:p>
    <w:p w14:paraId="335287C6" w14:textId="315DB0E9" w:rsidR="002F6A90" w:rsidRPr="004522BB" w:rsidRDefault="002F6A90" w:rsidP="002F6A90">
      <w:pPr>
        <w:pStyle w:val="CSDAPolicy1"/>
        <w:rPr>
          <w:spacing w:val="-4"/>
        </w:rPr>
      </w:pPr>
      <w:r w:rsidRPr="004522BB">
        <w:rPr>
          <w:spacing w:val="-4"/>
        </w:rPr>
        <w:t>Directors shall thoroughly prepare themselves to discuss agenda items at meetings of the Board of Directors.</w:t>
      </w:r>
      <w:r w:rsidR="004522BB">
        <w:rPr>
          <w:spacing w:val="-4"/>
        </w:rPr>
        <w:t xml:space="preserve"> </w:t>
      </w:r>
      <w:r w:rsidRPr="004522BB">
        <w:rPr>
          <w:spacing w:val="-4"/>
        </w:rPr>
        <w:t>Directors may request infor</w:t>
      </w:r>
      <w:r w:rsidRPr="004522BB">
        <w:rPr>
          <w:spacing w:val="-4"/>
        </w:rPr>
        <w:softHyphen/>
        <w:t>mation from staff before meetings.</w:t>
      </w:r>
    </w:p>
    <w:p w14:paraId="002F8070" w14:textId="77777777" w:rsidR="002F6A90" w:rsidRPr="004522BB" w:rsidRDefault="002F6A90" w:rsidP="002F6A90">
      <w:pPr>
        <w:pStyle w:val="CSDAPolicy1"/>
        <w:rPr>
          <w:spacing w:val="-4"/>
        </w:rPr>
      </w:pPr>
    </w:p>
    <w:p w14:paraId="395F036F" w14:textId="77777777" w:rsidR="002F6A90" w:rsidRPr="004522BB" w:rsidRDefault="002F6A90" w:rsidP="002F6A90">
      <w:pPr>
        <w:pStyle w:val="CSDAPolicy1"/>
        <w:ind w:left="810" w:hanging="810"/>
        <w:rPr>
          <w:spacing w:val="-4"/>
        </w:rPr>
      </w:pPr>
      <w:r w:rsidRPr="004522BB">
        <w:rPr>
          <w:spacing w:val="-4"/>
        </w:rPr>
        <w:tab/>
      </w:r>
      <w:r w:rsidRPr="004522BB">
        <w:rPr>
          <w:bCs/>
          <w:spacing w:val="-4"/>
        </w:rPr>
        <w:t>4120.1.1</w:t>
      </w:r>
      <w:r w:rsidRPr="004522BB">
        <w:rPr>
          <w:spacing w:val="-4"/>
        </w:rPr>
        <w:tab/>
        <w:t>Requests by individual Directors for substantive information and/or research from District staff will be channeled through the General Manager.</w:t>
      </w:r>
    </w:p>
    <w:p w14:paraId="0D137C64" w14:textId="77777777" w:rsidR="002F6A90" w:rsidRPr="004522BB" w:rsidRDefault="002F6A90" w:rsidP="002F6A90">
      <w:pPr>
        <w:pStyle w:val="CSDAPolicy1"/>
        <w:ind w:left="810" w:hanging="810"/>
        <w:rPr>
          <w:spacing w:val="-4"/>
        </w:rPr>
      </w:pPr>
    </w:p>
    <w:p w14:paraId="3F97B9A2" w14:textId="58AD00D0" w:rsidR="002F6A90" w:rsidRPr="004522BB" w:rsidRDefault="002F6A90" w:rsidP="002F6A90">
      <w:pPr>
        <w:pStyle w:val="CSDAPolicy1"/>
        <w:ind w:left="810" w:hanging="810"/>
        <w:rPr>
          <w:spacing w:val="-4"/>
        </w:rPr>
      </w:pPr>
      <w:r w:rsidRPr="004522BB">
        <w:rPr>
          <w:spacing w:val="-4"/>
        </w:rPr>
        <w:tab/>
        <w:t>4120.1.2</w:t>
      </w:r>
      <w:r w:rsidRPr="004522BB">
        <w:rPr>
          <w:spacing w:val="-4"/>
        </w:rPr>
        <w:tab/>
        <w:t xml:space="preserve">The General Manager shall be responsible for providing the requested information and </w:t>
      </w:r>
      <w:r w:rsidR="00F06D20">
        <w:rPr>
          <w:spacing w:val="-4"/>
        </w:rPr>
        <w:softHyphen/>
      </w:r>
      <w:r w:rsidR="00F06D20">
        <w:rPr>
          <w:spacing w:val="-4"/>
        </w:rPr>
        <w:softHyphen/>
      </w:r>
      <w:r w:rsidRPr="004522BB">
        <w:rPr>
          <w:spacing w:val="-4"/>
        </w:rPr>
        <w:t xml:space="preserve">shall make all information equally available to all Directors. </w:t>
      </w:r>
    </w:p>
    <w:p w14:paraId="3AB94342" w14:textId="77777777" w:rsidR="002F6A90" w:rsidRPr="004522BB" w:rsidRDefault="002F6A90" w:rsidP="002F6A90">
      <w:pPr>
        <w:pStyle w:val="CSDAPolicy1"/>
        <w:ind w:left="810" w:hanging="810"/>
        <w:rPr>
          <w:spacing w:val="-4"/>
        </w:rPr>
      </w:pPr>
    </w:p>
    <w:p w14:paraId="705618C9" w14:textId="77777777" w:rsidR="002F6A90" w:rsidRPr="004522BB" w:rsidRDefault="002F6A90" w:rsidP="002F6A90">
      <w:pPr>
        <w:pStyle w:val="CSDAPolicy1"/>
        <w:ind w:left="810" w:hanging="810"/>
        <w:rPr>
          <w:spacing w:val="-4"/>
        </w:rPr>
      </w:pPr>
      <w:r w:rsidRPr="004522BB">
        <w:rPr>
          <w:spacing w:val="-4"/>
        </w:rPr>
        <w:tab/>
        <w:t>4120.1.3</w:t>
      </w:r>
      <w:r w:rsidRPr="004522BB">
        <w:rPr>
          <w:spacing w:val="-4"/>
        </w:rPr>
        <w:tab/>
        <w:t xml:space="preserve">If writings are distributed to a majority of the Board in connection with an agenda item, those writings shall be made available to the public in the manner required by law. </w:t>
      </w:r>
    </w:p>
    <w:p w14:paraId="3201C0BF" w14:textId="77777777" w:rsidR="002F6A90" w:rsidRPr="004522BB" w:rsidRDefault="002F6A90" w:rsidP="002F6A90">
      <w:pPr>
        <w:pStyle w:val="CSDAPolicy1"/>
        <w:rPr>
          <w:spacing w:val="-4"/>
        </w:rPr>
      </w:pPr>
    </w:p>
    <w:p w14:paraId="084C1E41" w14:textId="01599941" w:rsidR="002F6A90" w:rsidRPr="004522BB" w:rsidRDefault="004522BB" w:rsidP="002F6A90">
      <w:pPr>
        <w:pStyle w:val="CSDAPolicy1"/>
        <w:rPr>
          <w:bCs/>
          <w:spacing w:val="-4"/>
        </w:rPr>
      </w:pPr>
      <w:r>
        <w:rPr>
          <w:bCs/>
          <w:spacing w:val="-4"/>
        </w:rPr>
        <w:t>4120.2</w:t>
      </w:r>
      <w:r>
        <w:rPr>
          <w:bCs/>
          <w:spacing w:val="-4"/>
        </w:rPr>
        <w:tab/>
        <w:t>Meeting Decorum:</w:t>
      </w:r>
    </w:p>
    <w:p w14:paraId="6B31664C" w14:textId="77777777" w:rsidR="002F6A90" w:rsidRPr="004522BB" w:rsidRDefault="002F6A90" w:rsidP="002F6A90">
      <w:pPr>
        <w:pStyle w:val="CSDAPolicy1"/>
        <w:rPr>
          <w:bCs/>
          <w:spacing w:val="-4"/>
        </w:rPr>
      </w:pPr>
    </w:p>
    <w:p w14:paraId="612E64C6" w14:textId="77777777" w:rsidR="002F6A90" w:rsidRPr="004522BB" w:rsidRDefault="002F6A90" w:rsidP="002F6A90">
      <w:pPr>
        <w:pStyle w:val="CSDAPolicy1"/>
        <w:ind w:left="810" w:hanging="810"/>
        <w:rPr>
          <w:spacing w:val="-4"/>
        </w:rPr>
      </w:pPr>
      <w:r w:rsidRPr="004522BB">
        <w:rPr>
          <w:spacing w:val="-4"/>
        </w:rPr>
        <w:tab/>
        <w:t>4120.2.1</w:t>
      </w:r>
      <w:r w:rsidRPr="004522BB">
        <w:rPr>
          <w:spacing w:val="-4"/>
        </w:rPr>
        <w:tab/>
        <w:t>Directors shall at all times conduct themselves with courtesy to each other, to staff, and to members of the audience present at Board meetings.</w:t>
      </w:r>
    </w:p>
    <w:p w14:paraId="4BDCE0D0" w14:textId="77777777" w:rsidR="002F6A90" w:rsidRPr="004522BB" w:rsidRDefault="002F6A90" w:rsidP="002F6A90">
      <w:pPr>
        <w:pStyle w:val="CSDAPolicy1"/>
        <w:rPr>
          <w:spacing w:val="-4"/>
        </w:rPr>
      </w:pPr>
    </w:p>
    <w:p w14:paraId="73A96014" w14:textId="0C323DF2" w:rsidR="002F6A90" w:rsidRPr="004522BB" w:rsidRDefault="002F6A90" w:rsidP="002F6A90">
      <w:pPr>
        <w:pStyle w:val="CSDAPolicy1"/>
        <w:ind w:left="810" w:hanging="810"/>
        <w:rPr>
          <w:spacing w:val="-4"/>
        </w:rPr>
      </w:pPr>
      <w:r w:rsidRPr="004522BB">
        <w:rPr>
          <w:bCs/>
          <w:spacing w:val="-4"/>
        </w:rPr>
        <w:tab/>
      </w:r>
      <w:r w:rsidRPr="004522BB">
        <w:rPr>
          <w:spacing w:val="-4"/>
        </w:rPr>
        <w:t>4120.2.2</w:t>
      </w:r>
      <w:r w:rsidRPr="004522BB">
        <w:rPr>
          <w:spacing w:val="-4"/>
        </w:rPr>
        <w:tab/>
        <w:t>Directors shall defer to the presiding officer for conduct of meetings of the Board, but shall be free to question and discuss items on the agenda.</w:t>
      </w:r>
      <w:r w:rsidR="004522BB">
        <w:rPr>
          <w:spacing w:val="-4"/>
        </w:rPr>
        <w:t xml:space="preserve"> </w:t>
      </w:r>
      <w:r w:rsidRPr="004522BB">
        <w:rPr>
          <w:spacing w:val="-4"/>
        </w:rPr>
        <w:t>All comments should be brief and confined to the matter being discussed by the Board.</w:t>
      </w:r>
    </w:p>
    <w:p w14:paraId="43D7DB46" w14:textId="77777777" w:rsidR="002F6A90" w:rsidRPr="004522BB" w:rsidRDefault="002F6A90" w:rsidP="002F6A90">
      <w:pPr>
        <w:pStyle w:val="CSDAPolicy1"/>
        <w:rPr>
          <w:spacing w:val="-4"/>
        </w:rPr>
      </w:pPr>
    </w:p>
    <w:p w14:paraId="4B03D795" w14:textId="77777777" w:rsidR="002F6A90" w:rsidRPr="004522BB" w:rsidRDefault="002F6A90" w:rsidP="002F6A90">
      <w:pPr>
        <w:pStyle w:val="CSDAPolicy1"/>
        <w:ind w:left="810" w:hanging="810"/>
        <w:rPr>
          <w:spacing w:val="-4"/>
        </w:rPr>
      </w:pPr>
      <w:r w:rsidRPr="004522BB">
        <w:rPr>
          <w:bCs/>
          <w:spacing w:val="-4"/>
        </w:rPr>
        <w:tab/>
        <w:t>4120.2.3</w:t>
      </w:r>
      <w:r w:rsidRPr="004522BB">
        <w:rPr>
          <w:bCs/>
          <w:spacing w:val="-4"/>
        </w:rPr>
        <w:tab/>
      </w:r>
      <w:r w:rsidRPr="004522BB">
        <w:rPr>
          <w:spacing w:val="-4"/>
        </w:rPr>
        <w:t>Directors may request for inclusion into the meeting minutes brief comments pertinent to an agenda item only at the meeting that item is discussed (including, if desired, a position on abstention or dissenting vote).</w:t>
      </w:r>
    </w:p>
    <w:p w14:paraId="6D725015" w14:textId="77777777" w:rsidR="002F6A90" w:rsidRPr="004522BB" w:rsidRDefault="002F6A90" w:rsidP="002F6A90">
      <w:pPr>
        <w:pStyle w:val="CSDAPolicy1"/>
        <w:rPr>
          <w:spacing w:val="-4"/>
        </w:rPr>
      </w:pPr>
    </w:p>
    <w:p w14:paraId="5577377B" w14:textId="189E41E8" w:rsidR="002F6A90" w:rsidRPr="004522BB" w:rsidRDefault="002F6A90" w:rsidP="002F6A90">
      <w:pPr>
        <w:pStyle w:val="CSDAPolicy1"/>
        <w:rPr>
          <w:spacing w:val="-4"/>
        </w:rPr>
      </w:pPr>
      <w:r w:rsidRPr="004522BB">
        <w:rPr>
          <w:bCs/>
          <w:spacing w:val="-4"/>
        </w:rPr>
        <w:t>4120.</w:t>
      </w:r>
      <w:r w:rsidR="009754CB">
        <w:rPr>
          <w:bCs/>
          <w:spacing w:val="-4"/>
        </w:rPr>
        <w:t>3</w:t>
      </w:r>
      <w:r w:rsidRPr="004522BB">
        <w:rPr>
          <w:spacing w:val="-4"/>
        </w:rPr>
        <w:tab/>
        <w:t>A</w:t>
      </w:r>
      <w:r w:rsidR="004522BB">
        <w:rPr>
          <w:spacing w:val="-4"/>
        </w:rPr>
        <w:t>bstentions and Failure to Vote:</w:t>
      </w:r>
    </w:p>
    <w:p w14:paraId="59983B47" w14:textId="77777777" w:rsidR="002F6A90" w:rsidRPr="004522BB" w:rsidRDefault="002F6A90" w:rsidP="002F6A90">
      <w:pPr>
        <w:pStyle w:val="CSDAPolicy1"/>
        <w:rPr>
          <w:spacing w:val="-4"/>
        </w:rPr>
      </w:pPr>
    </w:p>
    <w:p w14:paraId="40270B94" w14:textId="6C75203C" w:rsidR="002F6A90" w:rsidRPr="004522BB" w:rsidRDefault="002F6A90" w:rsidP="002F6A90">
      <w:pPr>
        <w:pStyle w:val="CSDAPolicy1"/>
        <w:rPr>
          <w:spacing w:val="-4"/>
        </w:rPr>
      </w:pPr>
      <w:r w:rsidRPr="004522BB">
        <w:rPr>
          <w:spacing w:val="-4"/>
        </w:rPr>
        <w:t>Directors should not abstain from the Board's decision-making responsibilities unless a personal or financial conflict of interest exists.</w:t>
      </w:r>
      <w:r w:rsidR="004522BB">
        <w:rPr>
          <w:spacing w:val="-4"/>
        </w:rPr>
        <w:t xml:space="preserve"> </w:t>
      </w:r>
      <w:r w:rsidRPr="004522BB">
        <w:rPr>
          <w:spacing w:val="-4"/>
        </w:rPr>
        <w:t xml:space="preserve">Directors abstaining due to a disqualifying conflict of interest will not be counted as part of a quorum and will be considered absent for the purposes of determining the outcome of a vote on the matter. Directors who fail to vote in the absence of a declared conflict of interest will be counted as part of a quorum and in effect consent that a majority of the quorum will determine the outcome of a vote on the matter. </w:t>
      </w:r>
    </w:p>
    <w:p w14:paraId="717063A2" w14:textId="76862890" w:rsidR="00C13903" w:rsidRPr="004522BB" w:rsidRDefault="002417C4">
      <w:pPr>
        <w:pStyle w:val="CSDAPolicy1"/>
        <w:rPr>
          <w:spacing w:val="-4"/>
        </w:rPr>
      </w:pPr>
      <w:r w:rsidRPr="004522BB">
        <w:rPr>
          <w:spacing w:val="-4"/>
        </w:rPr>
        <w:tab/>
      </w:r>
    </w:p>
    <w:sectPr w:rsidR="00C13903" w:rsidRPr="004522BB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8DCF0" w14:textId="77777777" w:rsidR="006D0877" w:rsidRDefault="006D0877">
      <w:r>
        <w:separator/>
      </w:r>
    </w:p>
  </w:endnote>
  <w:endnote w:type="continuationSeparator" w:id="0">
    <w:p w14:paraId="37B3DF37" w14:textId="77777777" w:rsidR="006D0877" w:rsidRDefault="006D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702F4" w14:textId="02DC395C" w:rsidR="00216475" w:rsidRPr="009754CB" w:rsidRDefault="009754CB" w:rsidP="009754CB">
    <w:pPr>
      <w:pStyle w:val="Footer"/>
    </w:pPr>
    <w:r w:rsidRPr="009754CB">
      <w:rPr>
        <w:rFonts w:ascii="Arial Narrow" w:hAnsi="Arial Narrow"/>
        <w:caps w:val="0"/>
        <w:noProof/>
        <w:sz w:val="16"/>
        <w:szCs w:val="16"/>
      </w:rPr>
      <w:drawing>
        <wp:anchor distT="0" distB="0" distL="114300" distR="114300" simplePos="0" relativeHeight="251671552" behindDoc="0" locked="0" layoutInCell="1" allowOverlap="1" wp14:anchorId="2BF97F4B" wp14:editId="7E6F8BDB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16" cy="1143002"/>
          <wp:effectExtent l="0" t="0" r="0" b="0"/>
          <wp:wrapSquare wrapText="bothSides"/>
          <wp:docPr id="3" name="Picture 3" descr="H:\Department Folders\Member Services\Shared Membership Folder\Sample Policy Handbook\6th Edition, 2016\Production\covers, footers, headers etc\SPH footer JarvisFay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Department Folders\Member Services\Shared Membership Folder\Sample Policy Handbook\6th Edition, 2016\Production\covers, footers, headers etc\SPH footer JarvisFay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16" cy="1143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DA993" w14:textId="77777777" w:rsidR="006D0877" w:rsidRDefault="006D0877">
      <w:r>
        <w:separator/>
      </w:r>
    </w:p>
  </w:footnote>
  <w:footnote w:type="continuationSeparator" w:id="0">
    <w:p w14:paraId="7A19174B" w14:textId="77777777" w:rsidR="006D0877" w:rsidRDefault="006D0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B34E9" w14:textId="77777777" w:rsidR="00EE226F" w:rsidRPr="00EE226F" w:rsidRDefault="00EE226F" w:rsidP="00EE226F">
    <w:pPr>
      <w:pStyle w:val="Header"/>
    </w:pPr>
    <w:r>
      <w:rPr>
        <w:noProof/>
      </w:rPr>
      <w:drawing>
        <wp:anchor distT="0" distB="0" distL="114300" distR="114300" simplePos="0" relativeHeight="251670528" behindDoc="0" locked="0" layoutInCell="1" allowOverlap="1" wp14:anchorId="5BF8CF61" wp14:editId="7338A309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1" name="Picture 1" descr="C:\Users\cassandras\AppData\Local\Microsoft\Windows\INetCache\Content.Word\SPH header Board Director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Board Director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2" w15:restartNumberingAfterBreak="0">
    <w:nsid w:val="14A70D67"/>
    <w:multiLevelType w:val="hybridMultilevel"/>
    <w:tmpl w:val="D278CA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2A6703E"/>
    <w:multiLevelType w:val="hybridMultilevel"/>
    <w:tmpl w:val="B302E2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954E4"/>
    <w:multiLevelType w:val="multilevel"/>
    <w:tmpl w:val="FECC9FB6"/>
    <w:lvl w:ilvl="0">
      <w:start w:val="4060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95"/>
        </w:tabs>
        <w:ind w:left="1395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10"/>
        </w:tabs>
        <w:ind w:left="2610" w:hanging="9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6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7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9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0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1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3" w15:restartNumberingAfterBreak="0">
    <w:nsid w:val="5B4356E1"/>
    <w:multiLevelType w:val="hybridMultilevel"/>
    <w:tmpl w:val="5EFAF3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5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6" w15:restartNumberingAfterBreak="0">
    <w:nsid w:val="72CD6C42"/>
    <w:multiLevelType w:val="hybridMultilevel"/>
    <w:tmpl w:val="D6DA08C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 w16cid:durableId="888078975">
    <w:abstractNumId w:val="9"/>
  </w:num>
  <w:num w:numId="2" w16cid:durableId="1037005671">
    <w:abstractNumId w:val="7"/>
  </w:num>
  <w:num w:numId="3" w16cid:durableId="1585646990">
    <w:abstractNumId w:val="6"/>
  </w:num>
  <w:num w:numId="4" w16cid:durableId="1061557684">
    <w:abstractNumId w:val="5"/>
  </w:num>
  <w:num w:numId="5" w16cid:durableId="1101340250">
    <w:abstractNumId w:val="4"/>
  </w:num>
  <w:num w:numId="6" w16cid:durableId="1561601095">
    <w:abstractNumId w:val="8"/>
  </w:num>
  <w:num w:numId="7" w16cid:durableId="1555001673">
    <w:abstractNumId w:val="3"/>
  </w:num>
  <w:num w:numId="8" w16cid:durableId="1635745637">
    <w:abstractNumId w:val="2"/>
  </w:num>
  <w:num w:numId="9" w16cid:durableId="1560558509">
    <w:abstractNumId w:val="1"/>
  </w:num>
  <w:num w:numId="10" w16cid:durableId="1744254409">
    <w:abstractNumId w:val="0"/>
  </w:num>
  <w:num w:numId="11" w16cid:durableId="2072342357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 w16cid:durableId="1097092231">
    <w:abstractNumId w:val="21"/>
  </w:num>
  <w:num w:numId="13" w16cid:durableId="77362273">
    <w:abstractNumId w:val="22"/>
  </w:num>
  <w:num w:numId="14" w16cid:durableId="755790539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 w16cid:durableId="1473402476">
    <w:abstractNumId w:val="20"/>
  </w:num>
  <w:num w:numId="16" w16cid:durableId="1868441862">
    <w:abstractNumId w:val="24"/>
  </w:num>
  <w:num w:numId="17" w16cid:durableId="561403378">
    <w:abstractNumId w:val="11"/>
  </w:num>
  <w:num w:numId="18" w16cid:durableId="1975790030">
    <w:abstractNumId w:val="22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 w16cid:durableId="1143043047">
    <w:abstractNumId w:val="18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 w16cid:durableId="1865632396">
    <w:abstractNumId w:val="25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 w16cid:durableId="1593054231">
    <w:abstractNumId w:val="19"/>
  </w:num>
  <w:num w:numId="22" w16cid:durableId="663245410">
    <w:abstractNumId w:val="17"/>
  </w:num>
  <w:num w:numId="23" w16cid:durableId="501703314">
    <w:abstractNumId w:val="16"/>
  </w:num>
  <w:num w:numId="24" w16cid:durableId="1592274705">
    <w:abstractNumId w:val="27"/>
  </w:num>
  <w:num w:numId="25" w16cid:durableId="1214653863">
    <w:abstractNumId w:val="13"/>
  </w:num>
  <w:num w:numId="26" w16cid:durableId="1380010242">
    <w:abstractNumId w:val="15"/>
  </w:num>
  <w:num w:numId="27" w16cid:durableId="1972126232">
    <w:abstractNumId w:val="14"/>
  </w:num>
  <w:num w:numId="28" w16cid:durableId="672223356">
    <w:abstractNumId w:val="23"/>
  </w:num>
  <w:num w:numId="29" w16cid:durableId="1469085019">
    <w:abstractNumId w:val="12"/>
  </w:num>
  <w:num w:numId="30" w16cid:durableId="106052037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5D2"/>
    <w:rsid w:val="0007493D"/>
    <w:rsid w:val="00216475"/>
    <w:rsid w:val="00217600"/>
    <w:rsid w:val="002417C4"/>
    <w:rsid w:val="002A16DD"/>
    <w:rsid w:val="002F6A90"/>
    <w:rsid w:val="00370B8D"/>
    <w:rsid w:val="004522BB"/>
    <w:rsid w:val="00452A72"/>
    <w:rsid w:val="004653AF"/>
    <w:rsid w:val="005D2C46"/>
    <w:rsid w:val="0060034A"/>
    <w:rsid w:val="006679F4"/>
    <w:rsid w:val="006D0877"/>
    <w:rsid w:val="006F7B43"/>
    <w:rsid w:val="00795532"/>
    <w:rsid w:val="00797079"/>
    <w:rsid w:val="007E3F76"/>
    <w:rsid w:val="008355D2"/>
    <w:rsid w:val="008409F5"/>
    <w:rsid w:val="0088634E"/>
    <w:rsid w:val="008A6C4A"/>
    <w:rsid w:val="008C25E6"/>
    <w:rsid w:val="008E3ECB"/>
    <w:rsid w:val="00900490"/>
    <w:rsid w:val="009206E4"/>
    <w:rsid w:val="009754CB"/>
    <w:rsid w:val="009A1CEE"/>
    <w:rsid w:val="00A07E18"/>
    <w:rsid w:val="00AB279A"/>
    <w:rsid w:val="00AC4C70"/>
    <w:rsid w:val="00BB09FA"/>
    <w:rsid w:val="00BB7C01"/>
    <w:rsid w:val="00C073B7"/>
    <w:rsid w:val="00C13903"/>
    <w:rsid w:val="00C73969"/>
    <w:rsid w:val="00CB76A6"/>
    <w:rsid w:val="00E24E3D"/>
    <w:rsid w:val="00EE226F"/>
    <w:rsid w:val="00F06D20"/>
    <w:rsid w:val="00F41E7B"/>
    <w:rsid w:val="00F55B5C"/>
    <w:rsid w:val="00FA373C"/>
    <w:rsid w:val="00FC6A99"/>
    <w:rsid w:val="00FE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98DCF1"/>
  <w15:chartTrackingRefBased/>
  <w15:docId w15:val="{328F070B-D0CC-4775-997D-D3611A9E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link w:val="CommentTextChar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A07E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07E18"/>
    <w:rPr>
      <w:rFonts w:ascii="Segoe UI" w:hAnsi="Segoe UI" w:cs="Segoe UI"/>
      <w:spacing w:val="-5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semiHidden/>
    <w:rsid w:val="002F6A90"/>
    <w:rPr>
      <w:rFonts w:ascii="Arial" w:hAnsi="Arial"/>
      <w:spacing w:val="-5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SPECIAL DISTRICTS ASSOCIATION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SPECIAL DISTRICTS ASSOCIATION</dc:title>
  <dc:subject/>
  <dc:creator>Mike Glaze</dc:creator>
  <cp:keywords/>
  <dc:description/>
  <cp:lastModifiedBy>Art Tharpe</cp:lastModifiedBy>
  <cp:revision>7</cp:revision>
  <cp:lastPrinted>2017-01-04T18:40:00Z</cp:lastPrinted>
  <dcterms:created xsi:type="dcterms:W3CDTF">2017-04-19T17:44:00Z</dcterms:created>
  <dcterms:modified xsi:type="dcterms:W3CDTF">2024-04-21T04:54:00Z</dcterms:modified>
</cp:coreProperties>
</file>