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1E262" w14:textId="52FB9251" w:rsidR="00C13903" w:rsidRPr="004611A8" w:rsidRDefault="00C13903">
      <w:pPr>
        <w:pStyle w:val="CSDAPolicy1"/>
        <w:rPr>
          <w:b/>
          <w:bCs/>
          <w:spacing w:val="-4"/>
        </w:rPr>
      </w:pPr>
      <w:r w:rsidRPr="004611A8">
        <w:rPr>
          <w:b/>
          <w:bCs/>
          <w:spacing w:val="-4"/>
        </w:rPr>
        <w:t>POLICY TITLE:</w:t>
      </w:r>
      <w:r w:rsidRPr="004611A8">
        <w:rPr>
          <w:b/>
          <w:bCs/>
          <w:spacing w:val="-4"/>
        </w:rPr>
        <w:tab/>
      </w:r>
      <w:r w:rsidR="007D6EE2" w:rsidRPr="004611A8">
        <w:rPr>
          <w:b/>
          <w:bCs/>
          <w:spacing w:val="-4"/>
        </w:rPr>
        <w:t>Training, Education and Conferences</w:t>
      </w:r>
    </w:p>
    <w:p w14:paraId="1C967DAE" w14:textId="79E3038B" w:rsidR="00C13903" w:rsidRPr="004611A8" w:rsidRDefault="00C13903">
      <w:pPr>
        <w:pStyle w:val="CSDAPolicy1"/>
        <w:rPr>
          <w:b/>
          <w:bCs/>
          <w:spacing w:val="-4"/>
        </w:rPr>
      </w:pPr>
      <w:r w:rsidRPr="004611A8">
        <w:rPr>
          <w:b/>
          <w:bCs/>
          <w:spacing w:val="-4"/>
        </w:rPr>
        <w:t>POLICY NUMBER:</w:t>
      </w:r>
      <w:r w:rsidRPr="004611A8">
        <w:rPr>
          <w:b/>
          <w:bCs/>
          <w:spacing w:val="-4"/>
        </w:rPr>
        <w:tab/>
        <w:t>4</w:t>
      </w:r>
      <w:r w:rsidR="00216475" w:rsidRPr="004611A8">
        <w:rPr>
          <w:b/>
          <w:bCs/>
          <w:spacing w:val="-4"/>
        </w:rPr>
        <w:t>1</w:t>
      </w:r>
      <w:r w:rsidR="007D6EE2" w:rsidRPr="004611A8">
        <w:rPr>
          <w:b/>
          <w:bCs/>
          <w:spacing w:val="-4"/>
        </w:rPr>
        <w:t>25</w:t>
      </w:r>
    </w:p>
    <w:p w14:paraId="546038E7" w14:textId="77777777" w:rsidR="00C13903" w:rsidRPr="004611A8" w:rsidRDefault="00C13903">
      <w:pPr>
        <w:pStyle w:val="CSDAPolicy1"/>
        <w:rPr>
          <w:bCs/>
          <w:spacing w:val="-4"/>
        </w:rPr>
      </w:pPr>
    </w:p>
    <w:p w14:paraId="0A73D4B5" w14:textId="77777777" w:rsidR="00C13903" w:rsidRPr="004611A8" w:rsidRDefault="00C13903">
      <w:pPr>
        <w:pStyle w:val="CSDAPolicy1"/>
        <w:rPr>
          <w:spacing w:val="-4"/>
        </w:rPr>
      </w:pPr>
    </w:p>
    <w:p w14:paraId="5459D898" w14:textId="571DB466"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0"/>
        <w:rPr>
          <w:rFonts w:ascii="Arial Narrow" w:hAnsi="Arial Narrow" w:cs="Arial Narrow"/>
          <w:spacing w:val="-4"/>
          <w:sz w:val="24"/>
          <w:szCs w:val="24"/>
        </w:rPr>
      </w:pPr>
      <w:r w:rsidRPr="004611A8">
        <w:rPr>
          <w:rFonts w:ascii="Arial Narrow" w:hAnsi="Arial Narrow" w:cs="Arial Narrow"/>
          <w:bCs/>
          <w:spacing w:val="-4"/>
          <w:sz w:val="24"/>
          <w:szCs w:val="24"/>
        </w:rPr>
        <w:t>4125.1</w:t>
      </w:r>
      <w:r w:rsidRPr="004611A8">
        <w:rPr>
          <w:rFonts w:ascii="Arial Narrow" w:hAnsi="Arial Narrow" w:cs="Arial Narrow"/>
          <w:bCs/>
          <w:spacing w:val="-4"/>
          <w:sz w:val="24"/>
          <w:szCs w:val="24"/>
        </w:rPr>
        <w:tab/>
      </w:r>
      <w:r w:rsidRPr="004611A8">
        <w:rPr>
          <w:rFonts w:ascii="Arial Narrow" w:hAnsi="Arial Narrow" w:cs="Arial Narrow"/>
          <w:spacing w:val="-4"/>
          <w:sz w:val="24"/>
          <w:szCs w:val="24"/>
        </w:rPr>
        <w:t>Members of the Board of Directors are encouraged to attend educational conferences, seminars, trainings, and professional meetings when the purpose of any such activity is to improve District operation.</w:t>
      </w:r>
      <w:r w:rsidR="004611A8">
        <w:rPr>
          <w:rFonts w:ascii="Arial Narrow" w:hAnsi="Arial Narrow" w:cs="Arial Narrow"/>
          <w:spacing w:val="-4"/>
          <w:sz w:val="24"/>
          <w:szCs w:val="24"/>
        </w:rPr>
        <w:t xml:space="preserve"> </w:t>
      </w:r>
      <w:r w:rsidRPr="004611A8">
        <w:rPr>
          <w:rFonts w:ascii="Arial Narrow" w:hAnsi="Arial Narrow" w:cs="Arial Narrow"/>
          <w:spacing w:val="-4"/>
          <w:sz w:val="24"/>
          <w:szCs w:val="24"/>
        </w:rPr>
        <w:t xml:space="preserve"> There is no limit as to the number of Directors attending a particular activity when it is apparent that attendance is beneficial to the District, as long as a majority of the members of a body do not discuss issues related to their local agency’s business.</w:t>
      </w:r>
      <w:r w:rsidR="004611A8">
        <w:rPr>
          <w:rFonts w:ascii="Arial Narrow" w:hAnsi="Arial Narrow" w:cs="Arial Narrow"/>
          <w:spacing w:val="-4"/>
          <w:sz w:val="24"/>
          <w:szCs w:val="24"/>
        </w:rPr>
        <w:t xml:space="preserve"> </w:t>
      </w:r>
      <w:r w:rsidRPr="004611A8">
        <w:rPr>
          <w:rFonts w:ascii="Arial Narrow" w:hAnsi="Arial Narrow" w:cs="Arial Narrow"/>
          <w:spacing w:val="-4"/>
          <w:sz w:val="24"/>
          <w:szCs w:val="24"/>
        </w:rPr>
        <w:t>Directors shall not attend conference or training event when it is apparent that there is no significant benefit to the District.</w:t>
      </w:r>
      <w:r w:rsidR="004611A8">
        <w:rPr>
          <w:rFonts w:ascii="Arial Narrow" w:hAnsi="Arial Narrow" w:cs="Arial Narrow"/>
          <w:spacing w:val="-4"/>
          <w:sz w:val="24"/>
          <w:szCs w:val="24"/>
        </w:rPr>
        <w:t xml:space="preserve"> </w:t>
      </w:r>
      <w:r w:rsidRPr="004611A8">
        <w:rPr>
          <w:rFonts w:ascii="Arial Narrow" w:hAnsi="Arial Narrow" w:cs="Arial Narrow"/>
          <w:spacing w:val="-4"/>
          <w:sz w:val="24"/>
          <w:szCs w:val="24"/>
        </w:rPr>
        <w:t xml:space="preserve">Directors shall not attend or engage in any tour or journey for pleasure at public expense (e.g. “junkets” or other such events that are not beneficial to the District. </w:t>
      </w:r>
    </w:p>
    <w:p w14:paraId="15D710BF" w14:textId="77777777"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sz w:val="24"/>
          <w:szCs w:val="24"/>
        </w:rPr>
      </w:pPr>
    </w:p>
    <w:p w14:paraId="76AA2B7A" w14:textId="4281672A" w:rsidR="007D6EE2" w:rsidRPr="004611A8" w:rsidRDefault="007D6EE2" w:rsidP="00B236CB">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0"/>
        <w:rPr>
          <w:rFonts w:ascii="Arial Narrow" w:hAnsi="Arial Narrow" w:cs="Arial Narrow"/>
          <w:spacing w:val="-4"/>
          <w:sz w:val="24"/>
          <w:szCs w:val="24"/>
        </w:rPr>
      </w:pPr>
      <w:r w:rsidRPr="004611A8">
        <w:rPr>
          <w:rFonts w:ascii="Arial Narrow" w:hAnsi="Arial Narrow" w:cs="Arial Narrow"/>
          <w:bCs/>
          <w:spacing w:val="-4"/>
          <w:sz w:val="24"/>
          <w:szCs w:val="24"/>
        </w:rPr>
        <w:t>4125.2</w:t>
      </w:r>
      <w:r w:rsidRPr="004611A8">
        <w:rPr>
          <w:rFonts w:ascii="Arial Narrow" w:hAnsi="Arial Narrow" w:cs="Arial Narrow"/>
          <w:bCs/>
          <w:spacing w:val="-4"/>
          <w:sz w:val="24"/>
          <w:szCs w:val="24"/>
        </w:rPr>
        <w:tab/>
      </w:r>
      <w:r w:rsidRPr="004611A8">
        <w:rPr>
          <w:rFonts w:ascii="Arial Narrow" w:hAnsi="Arial Narrow" w:cs="Arial Narrow"/>
          <w:spacing w:val="-4"/>
          <w:sz w:val="24"/>
          <w:szCs w:val="24"/>
        </w:rPr>
        <w:t xml:space="preserve">It is the policy of the District to encourage Board development and excellence of performance by reimbursing </w:t>
      </w:r>
      <w:r w:rsidRPr="004611A8">
        <w:rPr>
          <w:rFonts w:ascii="Arial Narrow" w:hAnsi="Arial Narrow" w:cs="Arial Narrow"/>
          <w:iCs/>
          <w:spacing w:val="-4"/>
          <w:sz w:val="24"/>
          <w:szCs w:val="24"/>
        </w:rPr>
        <w:t xml:space="preserve">actual </w:t>
      </w:r>
      <w:r w:rsidRPr="004611A8">
        <w:rPr>
          <w:rFonts w:ascii="Arial Narrow" w:hAnsi="Arial Narrow" w:cs="Arial Narrow"/>
          <w:spacing w:val="-4"/>
          <w:sz w:val="24"/>
          <w:szCs w:val="24"/>
        </w:rPr>
        <w:t>expenses incurred for tuition, travel, lodging and meals as a result of training, educational courses, participation with professional organizations, and attendance at local, state and national conferences associated with the interests of the District.</w:t>
      </w:r>
      <w:r w:rsidR="004611A8">
        <w:rPr>
          <w:rFonts w:ascii="Arial Narrow" w:hAnsi="Arial Narrow" w:cs="Arial Narrow"/>
          <w:spacing w:val="-4"/>
          <w:sz w:val="24"/>
          <w:szCs w:val="24"/>
        </w:rPr>
        <w:t xml:space="preserve"> </w:t>
      </w:r>
      <w:r w:rsidRPr="004611A8">
        <w:rPr>
          <w:rFonts w:ascii="Arial Narrow" w:hAnsi="Arial Narrow" w:cs="Arial Narrow"/>
          <w:spacing w:val="-4"/>
          <w:sz w:val="24"/>
          <w:szCs w:val="24"/>
        </w:rPr>
        <w:t>Cash advances or use of District credit cards for these purposes is not permitted.</w:t>
      </w:r>
    </w:p>
    <w:p w14:paraId="7952DB15" w14:textId="77777777"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sz w:val="24"/>
          <w:szCs w:val="24"/>
        </w:rPr>
      </w:pPr>
    </w:p>
    <w:p w14:paraId="7AABA6E4" w14:textId="24CD4669"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810" w:hanging="810"/>
        <w:rPr>
          <w:rFonts w:ascii="Arial Narrow" w:hAnsi="Arial Narrow" w:cs="Arial Narrow"/>
          <w:iCs/>
          <w:spacing w:val="-4"/>
          <w:sz w:val="24"/>
          <w:szCs w:val="24"/>
        </w:rPr>
      </w:pPr>
      <w:r w:rsidRPr="004611A8">
        <w:rPr>
          <w:rFonts w:ascii="Arial Narrow" w:hAnsi="Arial Narrow" w:cs="Arial Narrow"/>
          <w:spacing w:val="-4"/>
          <w:sz w:val="24"/>
          <w:szCs w:val="24"/>
        </w:rPr>
        <w:tab/>
      </w:r>
      <w:r w:rsidRPr="004611A8">
        <w:rPr>
          <w:rFonts w:ascii="Arial Narrow" w:hAnsi="Arial Narrow" w:cs="Arial Narrow"/>
          <w:bCs/>
          <w:spacing w:val="-4"/>
          <w:sz w:val="24"/>
          <w:szCs w:val="24"/>
        </w:rPr>
        <w:t>4125.2.1</w:t>
      </w:r>
      <w:r w:rsidRPr="004611A8">
        <w:rPr>
          <w:rFonts w:ascii="Arial Narrow" w:hAnsi="Arial Narrow" w:cs="Arial Narrow"/>
          <w:spacing w:val="-4"/>
          <w:sz w:val="24"/>
          <w:szCs w:val="24"/>
        </w:rPr>
        <w:tab/>
        <w:t xml:space="preserve">The </w:t>
      </w:r>
      <w:r w:rsidR="00993557">
        <w:rPr>
          <w:rFonts w:ascii="Arial Narrow" w:hAnsi="Arial Narrow" w:cs="Arial Narrow"/>
          <w:spacing w:val="-4"/>
          <w:sz w:val="24"/>
          <w:szCs w:val="24"/>
        </w:rPr>
        <w:t xml:space="preserve">General </w:t>
      </w:r>
      <w:r w:rsidRPr="004611A8">
        <w:rPr>
          <w:rFonts w:ascii="Arial Narrow" w:hAnsi="Arial Narrow" w:cs="Arial Narrow"/>
          <w:spacing w:val="-4"/>
          <w:sz w:val="24"/>
          <w:szCs w:val="24"/>
        </w:rPr>
        <w:t>Manager shall reimburse Directors for conference tuition and registration expenses, and for per diem expenses.</w:t>
      </w:r>
      <w:r w:rsidR="004611A8">
        <w:rPr>
          <w:rFonts w:ascii="Arial Narrow" w:hAnsi="Arial Narrow" w:cs="Arial Narrow"/>
          <w:spacing w:val="-4"/>
          <w:sz w:val="24"/>
          <w:szCs w:val="24"/>
        </w:rPr>
        <w:t xml:space="preserve"> </w:t>
      </w:r>
      <w:r w:rsidRPr="004611A8">
        <w:rPr>
          <w:rFonts w:ascii="Arial Narrow" w:hAnsi="Arial Narrow" w:cs="Arial Narrow"/>
          <w:spacing w:val="-4"/>
          <w:sz w:val="24"/>
          <w:szCs w:val="24"/>
        </w:rPr>
        <w:t>Per diem expenses, when appropriate, shall include meals, lodging, and travel.</w:t>
      </w:r>
      <w:r w:rsidR="004611A8">
        <w:rPr>
          <w:rFonts w:ascii="Arial Narrow" w:hAnsi="Arial Narrow" w:cs="Arial Narrow"/>
          <w:spacing w:val="-4"/>
          <w:sz w:val="24"/>
          <w:szCs w:val="24"/>
        </w:rPr>
        <w:t xml:space="preserve"> </w:t>
      </w:r>
      <w:r w:rsidRPr="004611A8">
        <w:rPr>
          <w:rFonts w:ascii="Arial Narrow" w:hAnsi="Arial Narrow" w:cs="Arial Narrow"/>
          <w:spacing w:val="-4"/>
          <w:sz w:val="24"/>
          <w:szCs w:val="24"/>
        </w:rPr>
        <w:t xml:space="preserve">All expenses for which reimbursement is requested by Directors, or which are billed to the District by Directors, shall be submitted to the </w:t>
      </w:r>
      <w:r w:rsidR="00993557">
        <w:rPr>
          <w:rFonts w:ascii="Arial Narrow" w:hAnsi="Arial Narrow" w:cs="Arial Narrow"/>
          <w:spacing w:val="-4"/>
          <w:sz w:val="24"/>
          <w:szCs w:val="24"/>
        </w:rPr>
        <w:t>General</w:t>
      </w:r>
      <w:r w:rsidRPr="004611A8">
        <w:rPr>
          <w:rFonts w:ascii="Arial Narrow" w:hAnsi="Arial Narrow" w:cs="Arial Narrow"/>
          <w:spacing w:val="-4"/>
          <w:sz w:val="24"/>
          <w:szCs w:val="24"/>
        </w:rPr>
        <w:t xml:space="preserve"> Manager, together with validated receipts.</w:t>
      </w:r>
      <w:r w:rsidR="004611A8">
        <w:rPr>
          <w:rFonts w:ascii="Arial Narrow" w:hAnsi="Arial Narrow" w:cs="Arial Narrow"/>
          <w:spacing w:val="-4"/>
          <w:sz w:val="24"/>
          <w:szCs w:val="24"/>
        </w:rPr>
        <w:t xml:space="preserve"> </w:t>
      </w:r>
      <w:r w:rsidRPr="004611A8">
        <w:rPr>
          <w:rFonts w:ascii="Arial Narrow" w:hAnsi="Arial Narrow" w:cs="Arial Narrow"/>
          <w:spacing w:val="-4"/>
          <w:sz w:val="24"/>
          <w:szCs w:val="24"/>
        </w:rPr>
        <w:t>All reimbursements shall be made</w:t>
      </w:r>
      <w:r w:rsidRPr="004611A8">
        <w:rPr>
          <w:rFonts w:ascii="Arial Narrow" w:hAnsi="Arial Narrow" w:cs="Arial Narrow"/>
          <w:iCs/>
          <w:spacing w:val="-4"/>
          <w:sz w:val="24"/>
          <w:szCs w:val="24"/>
        </w:rPr>
        <w:t xml:space="preserve"> in accordance with applicable State and federal law, including but not limited to Internal Revenue Service Guidelines.</w:t>
      </w:r>
    </w:p>
    <w:p w14:paraId="262E792F" w14:textId="77777777"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sz w:val="24"/>
          <w:szCs w:val="24"/>
        </w:rPr>
      </w:pPr>
    </w:p>
    <w:p w14:paraId="5FEBB965" w14:textId="77777777"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810" w:hanging="810"/>
        <w:rPr>
          <w:rFonts w:ascii="Arial Narrow" w:hAnsi="Arial Narrow" w:cs="Arial Narrow"/>
          <w:spacing w:val="-4"/>
          <w:sz w:val="24"/>
          <w:szCs w:val="24"/>
        </w:rPr>
      </w:pPr>
      <w:r w:rsidRPr="004611A8">
        <w:rPr>
          <w:rFonts w:ascii="Arial Narrow" w:hAnsi="Arial Narrow" w:cs="Arial Narrow"/>
          <w:spacing w:val="-4"/>
          <w:sz w:val="24"/>
          <w:szCs w:val="24"/>
        </w:rPr>
        <w:tab/>
      </w:r>
      <w:r w:rsidRPr="004611A8">
        <w:rPr>
          <w:rFonts w:ascii="Arial Narrow" w:hAnsi="Arial Narrow" w:cs="Arial Narrow"/>
          <w:bCs/>
          <w:spacing w:val="-4"/>
          <w:sz w:val="24"/>
          <w:szCs w:val="24"/>
        </w:rPr>
        <w:t>4125.2.2</w:t>
      </w:r>
      <w:r w:rsidRPr="004611A8">
        <w:rPr>
          <w:rFonts w:ascii="Arial Narrow" w:hAnsi="Arial Narrow" w:cs="Arial Narrow"/>
          <w:spacing w:val="-4"/>
          <w:sz w:val="24"/>
          <w:szCs w:val="24"/>
        </w:rPr>
        <w:tab/>
        <w:t>Attendance by Directors at seminars, workshops, courses, professional organization meetings, and conferences shall be approved by the Board of Directors prior to the District incurring any reimbursable costs.</w:t>
      </w:r>
    </w:p>
    <w:p w14:paraId="71342FCE" w14:textId="77777777"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sz w:val="24"/>
          <w:szCs w:val="24"/>
        </w:rPr>
      </w:pPr>
    </w:p>
    <w:p w14:paraId="7A1AE30D" w14:textId="41B948C2"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810" w:hanging="810"/>
        <w:rPr>
          <w:rFonts w:ascii="Arial Narrow" w:hAnsi="Arial Narrow" w:cs="Arial Narrow"/>
          <w:spacing w:val="-4"/>
          <w:sz w:val="24"/>
          <w:szCs w:val="24"/>
        </w:rPr>
      </w:pPr>
      <w:r w:rsidRPr="004611A8">
        <w:rPr>
          <w:rFonts w:ascii="Arial Narrow" w:hAnsi="Arial Narrow" w:cs="Arial Narrow"/>
          <w:spacing w:val="-4"/>
          <w:sz w:val="24"/>
          <w:szCs w:val="24"/>
        </w:rPr>
        <w:tab/>
      </w:r>
      <w:r w:rsidRPr="004611A8">
        <w:rPr>
          <w:rFonts w:ascii="Arial Narrow" w:hAnsi="Arial Narrow" w:cs="Arial Narrow"/>
          <w:bCs/>
          <w:spacing w:val="-4"/>
          <w:sz w:val="24"/>
          <w:szCs w:val="24"/>
        </w:rPr>
        <w:t>4125.2.3</w:t>
      </w:r>
      <w:r w:rsidRPr="004611A8">
        <w:rPr>
          <w:rFonts w:ascii="Arial Narrow" w:hAnsi="Arial Narrow" w:cs="Arial Narrow"/>
          <w:spacing w:val="-4"/>
          <w:sz w:val="24"/>
          <w:szCs w:val="24"/>
        </w:rPr>
        <w:tab/>
        <w:t xml:space="preserve">Expenses to the District for Board of Directors' training, education, and conferences should be kept to a minimum by utilizing recommendations for transportation and housing accommodations recommended by the </w:t>
      </w:r>
      <w:r w:rsidR="00993557">
        <w:rPr>
          <w:rFonts w:ascii="Arial Narrow" w:hAnsi="Arial Narrow" w:cs="Arial Narrow"/>
          <w:spacing w:val="-4"/>
          <w:sz w:val="24"/>
          <w:szCs w:val="24"/>
        </w:rPr>
        <w:t>General</w:t>
      </w:r>
      <w:r w:rsidRPr="004611A8">
        <w:rPr>
          <w:rFonts w:ascii="Arial Narrow" w:hAnsi="Arial Narrow" w:cs="Arial Narrow"/>
          <w:spacing w:val="-4"/>
          <w:sz w:val="24"/>
          <w:szCs w:val="24"/>
        </w:rPr>
        <w:t xml:space="preserve"> Manager, and by:</w:t>
      </w:r>
    </w:p>
    <w:p w14:paraId="7485553E" w14:textId="77777777"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sz w:val="24"/>
          <w:szCs w:val="24"/>
        </w:rPr>
      </w:pPr>
    </w:p>
    <w:p w14:paraId="3A241E8A" w14:textId="77777777"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1800" w:hanging="1800"/>
        <w:rPr>
          <w:rFonts w:ascii="Arial Narrow" w:hAnsi="Arial Narrow" w:cs="Arial Narrow"/>
          <w:spacing w:val="-4"/>
          <w:sz w:val="24"/>
          <w:szCs w:val="24"/>
        </w:rPr>
      </w:pPr>
      <w:r w:rsidRPr="004611A8">
        <w:rPr>
          <w:rFonts w:ascii="Arial Narrow" w:hAnsi="Arial Narrow" w:cs="Arial Narrow"/>
          <w:spacing w:val="-4"/>
          <w:sz w:val="24"/>
          <w:szCs w:val="24"/>
        </w:rPr>
        <w:tab/>
      </w:r>
      <w:r w:rsidRPr="004611A8">
        <w:rPr>
          <w:rFonts w:ascii="Arial Narrow" w:hAnsi="Arial Narrow" w:cs="Arial Narrow"/>
          <w:spacing w:val="-4"/>
          <w:sz w:val="24"/>
          <w:szCs w:val="24"/>
        </w:rPr>
        <w:tab/>
      </w:r>
      <w:r w:rsidRPr="004611A8">
        <w:rPr>
          <w:rFonts w:ascii="Arial Narrow" w:hAnsi="Arial Narrow" w:cs="Arial Narrow"/>
          <w:bCs/>
          <w:spacing w:val="-4"/>
          <w:sz w:val="24"/>
          <w:szCs w:val="24"/>
        </w:rPr>
        <w:t>4125.2.3.1</w:t>
      </w:r>
      <w:r w:rsidRPr="004611A8">
        <w:rPr>
          <w:rFonts w:ascii="Arial Narrow" w:hAnsi="Arial Narrow" w:cs="Arial Narrow"/>
          <w:spacing w:val="-4"/>
          <w:sz w:val="24"/>
          <w:szCs w:val="24"/>
        </w:rPr>
        <w:tab/>
        <w:t>Utilizing hotel(s) recommended by the event sponsor in order to obtain discounted rates.</w:t>
      </w:r>
    </w:p>
    <w:p w14:paraId="16B46715" w14:textId="77777777"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sz w:val="24"/>
          <w:szCs w:val="24"/>
        </w:rPr>
      </w:pPr>
    </w:p>
    <w:p w14:paraId="21E34707" w14:textId="77777777"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1800" w:hanging="1800"/>
        <w:rPr>
          <w:rFonts w:ascii="Arial Narrow" w:hAnsi="Arial Narrow" w:cs="Arial Narrow"/>
          <w:spacing w:val="-4"/>
          <w:sz w:val="24"/>
          <w:szCs w:val="24"/>
        </w:rPr>
      </w:pPr>
      <w:r w:rsidRPr="004611A8">
        <w:rPr>
          <w:rFonts w:ascii="Arial Narrow" w:hAnsi="Arial Narrow" w:cs="Arial Narrow"/>
          <w:spacing w:val="-4"/>
          <w:sz w:val="24"/>
          <w:szCs w:val="24"/>
        </w:rPr>
        <w:tab/>
      </w:r>
      <w:r w:rsidRPr="004611A8">
        <w:rPr>
          <w:rFonts w:ascii="Arial Narrow" w:hAnsi="Arial Narrow" w:cs="Arial Narrow"/>
          <w:spacing w:val="-4"/>
          <w:sz w:val="24"/>
          <w:szCs w:val="24"/>
        </w:rPr>
        <w:tab/>
      </w:r>
      <w:r w:rsidRPr="004611A8">
        <w:rPr>
          <w:rFonts w:ascii="Arial Narrow" w:hAnsi="Arial Narrow" w:cs="Arial Narrow"/>
          <w:bCs/>
          <w:spacing w:val="-4"/>
          <w:sz w:val="24"/>
          <w:szCs w:val="24"/>
        </w:rPr>
        <w:t>4125.2.3.2</w:t>
      </w:r>
      <w:r w:rsidRPr="004611A8">
        <w:rPr>
          <w:rFonts w:ascii="Arial Narrow" w:hAnsi="Arial Narrow" w:cs="Arial Narrow"/>
          <w:spacing w:val="-4"/>
          <w:sz w:val="24"/>
          <w:szCs w:val="24"/>
        </w:rPr>
        <w:tab/>
        <w:t>Directors traveling together whenever feasible and economically beneficial.</w:t>
      </w:r>
    </w:p>
    <w:p w14:paraId="2728AC70" w14:textId="77777777"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sz w:val="24"/>
          <w:szCs w:val="24"/>
        </w:rPr>
      </w:pPr>
    </w:p>
    <w:p w14:paraId="3C160A05" w14:textId="77777777"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1800" w:hanging="1800"/>
        <w:rPr>
          <w:rFonts w:ascii="Arial Narrow" w:hAnsi="Arial Narrow" w:cs="Arial Narrow"/>
          <w:spacing w:val="-4"/>
          <w:sz w:val="24"/>
          <w:szCs w:val="24"/>
        </w:rPr>
        <w:sectPr w:rsidR="007D6EE2" w:rsidRPr="004611A8" w:rsidSect="004B281A">
          <w:headerReference w:type="default" r:id="rId7"/>
          <w:footerReference w:type="default" r:id="rId8"/>
          <w:endnotePr>
            <w:numFmt w:val="decimal"/>
          </w:endnotePr>
          <w:pgSz w:w="12240" w:h="15840" w:code="1"/>
          <w:pgMar w:top="1152" w:right="1152" w:bottom="1152" w:left="1728" w:header="1152" w:footer="720" w:gutter="0"/>
          <w:cols w:space="720"/>
          <w:noEndnote/>
        </w:sectPr>
      </w:pPr>
      <w:r w:rsidRPr="004611A8">
        <w:rPr>
          <w:rFonts w:ascii="Arial Narrow" w:hAnsi="Arial Narrow" w:cs="Arial Narrow"/>
          <w:spacing w:val="-4"/>
          <w:sz w:val="24"/>
          <w:szCs w:val="24"/>
        </w:rPr>
        <w:tab/>
      </w:r>
      <w:r w:rsidRPr="004611A8">
        <w:rPr>
          <w:rFonts w:ascii="Arial Narrow" w:hAnsi="Arial Narrow" w:cs="Arial Narrow"/>
          <w:spacing w:val="-4"/>
          <w:sz w:val="24"/>
          <w:szCs w:val="24"/>
        </w:rPr>
        <w:tab/>
      </w:r>
      <w:r w:rsidRPr="004611A8">
        <w:rPr>
          <w:rFonts w:ascii="Arial Narrow" w:hAnsi="Arial Narrow" w:cs="Arial Narrow"/>
          <w:bCs/>
          <w:spacing w:val="-4"/>
          <w:sz w:val="24"/>
          <w:szCs w:val="24"/>
        </w:rPr>
        <w:t>4125.2.3.3</w:t>
      </w:r>
      <w:r w:rsidRPr="004611A8">
        <w:rPr>
          <w:rFonts w:ascii="Arial Narrow" w:hAnsi="Arial Narrow" w:cs="Arial Narrow"/>
          <w:spacing w:val="-4"/>
          <w:sz w:val="24"/>
          <w:szCs w:val="24"/>
        </w:rPr>
        <w:tab/>
        <w:t>Requesting reservations sufficiently in advance, when possible, to obtain discounted air fares and hotel rates.</w:t>
      </w:r>
    </w:p>
    <w:p w14:paraId="56A69521" w14:textId="7629B409"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sz w:val="24"/>
          <w:szCs w:val="24"/>
        </w:rPr>
      </w:pPr>
      <w:r w:rsidRPr="004611A8">
        <w:rPr>
          <w:rFonts w:ascii="Arial Narrow" w:hAnsi="Arial Narrow" w:cs="Arial Narrow"/>
          <w:bCs/>
          <w:spacing w:val="-4"/>
          <w:sz w:val="24"/>
          <w:szCs w:val="24"/>
        </w:rPr>
        <w:lastRenderedPageBreak/>
        <w:t>4125.3</w:t>
      </w:r>
      <w:r w:rsidRPr="004611A8">
        <w:rPr>
          <w:rFonts w:ascii="Arial Narrow" w:hAnsi="Arial Narrow" w:cs="Arial Narrow"/>
          <w:spacing w:val="-4"/>
          <w:sz w:val="24"/>
          <w:szCs w:val="24"/>
        </w:rPr>
        <w:tab/>
        <w:t>A Director shall not be reimbursed for expenses incurred at any educational conference, seminar, training, or professional meeting event if such event occurs after the District has announced that Director’s pending resignation, or if such event occurs after an election in which it has been determined that the Director will not retain his or her seat on the Board.</w:t>
      </w:r>
      <w:r w:rsidR="004611A8">
        <w:rPr>
          <w:rFonts w:ascii="Arial Narrow" w:hAnsi="Arial Narrow" w:cs="Arial Narrow"/>
          <w:spacing w:val="-4"/>
          <w:sz w:val="24"/>
          <w:szCs w:val="24"/>
        </w:rPr>
        <w:t xml:space="preserve"> </w:t>
      </w:r>
    </w:p>
    <w:p w14:paraId="4FB40780" w14:textId="77777777"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sz w:val="24"/>
          <w:szCs w:val="24"/>
        </w:rPr>
      </w:pPr>
    </w:p>
    <w:p w14:paraId="4890A4A6" w14:textId="071CDA41" w:rsidR="007D6EE2" w:rsidRPr="004611A8" w:rsidRDefault="007D6EE2" w:rsidP="007D6EE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sz w:val="24"/>
          <w:szCs w:val="24"/>
        </w:rPr>
      </w:pPr>
      <w:r w:rsidRPr="004611A8">
        <w:rPr>
          <w:rFonts w:ascii="Arial Narrow" w:hAnsi="Arial Narrow" w:cs="Arial Narrow"/>
          <w:bCs/>
          <w:spacing w:val="-4"/>
          <w:sz w:val="24"/>
          <w:szCs w:val="24"/>
        </w:rPr>
        <w:t>4125.4</w:t>
      </w:r>
      <w:r w:rsidRPr="004611A8">
        <w:rPr>
          <w:rFonts w:ascii="Arial Narrow" w:hAnsi="Arial Narrow" w:cs="Arial Narrow"/>
          <w:spacing w:val="-4"/>
          <w:sz w:val="24"/>
          <w:szCs w:val="24"/>
        </w:rPr>
        <w:tab/>
        <w:t>Upon returning from educational conferences, seminars, trainings, and professional meetings where expenses are reimbursed by the District, Directors will either prepare a written or verbal report for presentation at the next regular meeting of the Board.</w:t>
      </w:r>
      <w:r w:rsidR="004611A8">
        <w:rPr>
          <w:rFonts w:ascii="Arial Narrow" w:hAnsi="Arial Narrow" w:cs="Arial Narrow"/>
          <w:spacing w:val="-4"/>
          <w:sz w:val="24"/>
          <w:szCs w:val="24"/>
        </w:rPr>
        <w:t xml:space="preserve"> </w:t>
      </w:r>
      <w:r w:rsidRPr="004611A8">
        <w:rPr>
          <w:rFonts w:ascii="Arial Narrow" w:hAnsi="Arial Narrow" w:cs="Arial Narrow"/>
          <w:spacing w:val="-4"/>
          <w:sz w:val="24"/>
          <w:szCs w:val="24"/>
        </w:rPr>
        <w:t>Said report shall detail what was learned at the session(s) that will be of benefit to the District.</w:t>
      </w:r>
      <w:r w:rsidR="004611A8">
        <w:rPr>
          <w:rFonts w:ascii="Arial Narrow" w:hAnsi="Arial Narrow" w:cs="Arial Narrow"/>
          <w:spacing w:val="-4"/>
          <w:sz w:val="24"/>
          <w:szCs w:val="24"/>
        </w:rPr>
        <w:t xml:space="preserve"> </w:t>
      </w:r>
      <w:r w:rsidRPr="004611A8">
        <w:rPr>
          <w:rFonts w:ascii="Arial Narrow" w:hAnsi="Arial Narrow" w:cs="Arial Narrow"/>
          <w:spacing w:val="-4"/>
          <w:sz w:val="24"/>
          <w:szCs w:val="24"/>
        </w:rPr>
        <w:t>Materials from the session(s) may be delivered to the District office to be included in the District library for the future use of other Directors and staff.</w:t>
      </w:r>
    </w:p>
    <w:p w14:paraId="717063A2" w14:textId="27A9805E" w:rsidR="00C13903" w:rsidRPr="004611A8" w:rsidRDefault="002417C4">
      <w:pPr>
        <w:pStyle w:val="CSDAPolicy1"/>
        <w:rPr>
          <w:spacing w:val="-4"/>
          <w:szCs w:val="24"/>
        </w:rPr>
      </w:pPr>
      <w:r w:rsidRPr="004611A8">
        <w:rPr>
          <w:spacing w:val="-4"/>
          <w:szCs w:val="24"/>
        </w:rPr>
        <w:tab/>
      </w:r>
    </w:p>
    <w:sectPr w:rsidR="00C13903" w:rsidRPr="004611A8">
      <w:footerReference w:type="default" r:id="rId9"/>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53FFD" w14:textId="77777777" w:rsidR="004B281A" w:rsidRDefault="004B281A">
      <w:r>
        <w:separator/>
      </w:r>
    </w:p>
  </w:endnote>
  <w:endnote w:type="continuationSeparator" w:id="0">
    <w:p w14:paraId="4B21FE71" w14:textId="77777777" w:rsidR="004B281A" w:rsidRDefault="004B2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702F4" w14:textId="7C3C7F3F" w:rsidR="00216475" w:rsidRDefault="00216475" w:rsidP="00FE34C7">
    <w:pPr>
      <w:tabs>
        <w:tab w:val="left" w:pos="2565"/>
        <w:tab w:val="center" w:pos="4680"/>
        <w:tab w:val="right" w:pos="9360"/>
      </w:tabs>
      <w:jc w:val="both"/>
      <w:rPr>
        <w:rFonts w:ascii="Arial Narrow" w:hAnsi="Arial Narrow"/>
        <w:sz w:val="24"/>
      </w:rPr>
    </w:pPr>
    <w:r>
      <w:rPr>
        <w:rFonts w:ascii="Arial Narrow" w:hAnsi="Arial Narrow"/>
        <w:sz w:val="16"/>
        <w:szCs w:val="16"/>
      </w:rPr>
      <w:tab/>
    </w:r>
    <w:r>
      <w:rPr>
        <w:rFonts w:ascii="Arial Narrow" w:hAnsi="Arial Narrow"/>
        <w:sz w:val="16"/>
        <w:szCs w:val="16"/>
      </w:rPr>
      <w:tab/>
    </w:r>
    <w:r w:rsidR="009E301F" w:rsidRPr="009E301F">
      <w:rPr>
        <w:rFonts w:ascii="Arial Narrow" w:hAnsi="Arial Narrow"/>
        <w:noProof/>
        <w:sz w:val="24"/>
      </w:rPr>
      <w:drawing>
        <wp:anchor distT="0" distB="0" distL="114300" distR="114300" simplePos="0" relativeHeight="251675648" behindDoc="0" locked="0" layoutInCell="1" allowOverlap="1" wp14:anchorId="6D0EAD0F" wp14:editId="3CBE6B0A">
          <wp:simplePos x="1781175" y="8458200"/>
          <wp:positionH relativeFrom="page">
            <wp:align>left</wp:align>
          </wp:positionH>
          <wp:positionV relativeFrom="page">
            <wp:align>bottom</wp:align>
          </wp:positionV>
          <wp:extent cx="7772400" cy="1143000"/>
          <wp:effectExtent l="0" t="0" r="0" b="0"/>
          <wp:wrapSquare wrapText="bothSides"/>
          <wp:docPr id="4" name="Picture 4" descr="H:\Department Folders\Member Services\Shared Membership Folder\Sample Policy Handbook\6th Edition, 2016\Production\covers, footers, headers etc\SPH footer JarvisFay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Department Folders\Member Services\Shared Membership Folder\Sample Policy Handbook\6th Edition, 2016\Production\covers, footers, headers etc\SPH footer JarvisFay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816C4" w14:textId="2CAE5371" w:rsidR="007D6EE2" w:rsidRDefault="007D6EE2" w:rsidP="00FE34C7">
    <w:pPr>
      <w:tabs>
        <w:tab w:val="left" w:pos="2565"/>
        <w:tab w:val="center" w:pos="4680"/>
        <w:tab w:val="right" w:pos="9360"/>
      </w:tabs>
      <w:jc w:val="both"/>
      <w:rPr>
        <w:rFonts w:ascii="Arial Narrow" w:hAnsi="Arial Narrow"/>
        <w:sz w:val="24"/>
      </w:rPr>
    </w:pPr>
    <w:r>
      <w:rPr>
        <w:rFonts w:ascii="Arial Narrow" w:hAnsi="Arial Narrow"/>
        <w:sz w:val="16"/>
        <w:szCs w:val="16"/>
      </w:rPr>
      <w:tab/>
    </w:r>
    <w:r>
      <w:rPr>
        <w:rFonts w:ascii="Arial Narrow" w:hAnsi="Arial Narrow"/>
        <w:sz w:val="16"/>
        <w:szCs w:val="16"/>
      </w:rPr>
      <w:tab/>
    </w:r>
    <w:r w:rsidRPr="007D6EE2">
      <w:rPr>
        <w:rFonts w:ascii="Arial Narrow" w:hAnsi="Arial Narrow"/>
        <w:noProof/>
        <w:sz w:val="16"/>
        <w:szCs w:val="16"/>
      </w:rPr>
      <w:drawing>
        <wp:anchor distT="0" distB="0" distL="114300" distR="114300" simplePos="0" relativeHeight="251674624" behindDoc="0" locked="0" layoutInCell="1" allowOverlap="1" wp14:anchorId="45911873" wp14:editId="11D3F813">
          <wp:simplePos x="1781175" y="8458200"/>
          <wp:positionH relativeFrom="page">
            <wp:align>left</wp:align>
          </wp:positionH>
          <wp:positionV relativeFrom="page">
            <wp:align>bottom</wp:align>
          </wp:positionV>
          <wp:extent cx="7772400" cy="1143000"/>
          <wp:effectExtent l="0" t="0" r="0" b="0"/>
          <wp:wrapSquare wrapText="bothSides"/>
          <wp:docPr id="5" name="Picture 5" descr="C:\Users\cassandras\AppData\Local\Microsoft\Windows\INetCache\Content.Outlook\UMBW9TO9\SPH footer secondary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Outlook\UMBW9TO9\SPH footer secondary (00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CDC321" w14:textId="77777777" w:rsidR="004B281A" w:rsidRDefault="004B281A">
      <w:r>
        <w:separator/>
      </w:r>
    </w:p>
  </w:footnote>
  <w:footnote w:type="continuationSeparator" w:id="0">
    <w:p w14:paraId="00DD611E" w14:textId="77777777" w:rsidR="004B281A" w:rsidRDefault="004B28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B34E9" w14:textId="77777777" w:rsidR="00EE226F" w:rsidRPr="00EE226F" w:rsidRDefault="00EE226F" w:rsidP="00EE226F">
    <w:pPr>
      <w:pStyle w:val="Header"/>
    </w:pPr>
    <w:r>
      <w:rPr>
        <w:noProof/>
      </w:rPr>
      <w:drawing>
        <wp:anchor distT="0" distB="0" distL="114300" distR="114300" simplePos="0" relativeHeight="251670528" behindDoc="0" locked="0" layoutInCell="1" allowOverlap="1" wp14:anchorId="5BF8CF61" wp14:editId="7338A309">
          <wp:simplePos x="1781175" y="733425"/>
          <wp:positionH relativeFrom="page">
            <wp:align>left</wp:align>
          </wp:positionH>
          <wp:positionV relativeFrom="page">
            <wp:align>top</wp:align>
          </wp:positionV>
          <wp:extent cx="7755165" cy="1371600"/>
          <wp:effectExtent l="0" t="0" r="0" b="0"/>
          <wp:wrapSquare wrapText="bothSides"/>
          <wp:docPr id="1" name="Picture 1" descr="C:\Users\cassandras\AppData\Local\Microsoft\Windows\INetCache\Content.Word\SPH header Board Directo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header Board Directors.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2" w15:restartNumberingAfterBreak="0">
    <w:nsid w:val="14A70D67"/>
    <w:multiLevelType w:val="hybridMultilevel"/>
    <w:tmpl w:val="D278CA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754DDC"/>
    <w:multiLevelType w:val="singleLevel"/>
    <w:tmpl w:val="6DCCA5CE"/>
    <w:lvl w:ilvl="0">
      <w:start w:val="1"/>
      <w:numFmt w:val="none"/>
      <w:lvlText w:val=""/>
      <w:legacy w:legacy="1" w:legacySpace="0" w:legacyIndent="0"/>
      <w:lvlJc w:val="left"/>
    </w:lvl>
  </w:abstractNum>
  <w:abstractNum w:abstractNumId="14" w15:restartNumberingAfterBreak="0">
    <w:nsid w:val="22A6703E"/>
    <w:multiLevelType w:val="hybridMultilevel"/>
    <w:tmpl w:val="B302E2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B954E4"/>
    <w:multiLevelType w:val="multilevel"/>
    <w:tmpl w:val="FECC9FB6"/>
    <w:lvl w:ilvl="0">
      <w:start w:val="4060"/>
      <w:numFmt w:val="decimal"/>
      <w:lvlText w:val="%1"/>
      <w:lvlJc w:val="left"/>
      <w:pPr>
        <w:tabs>
          <w:tab w:val="num" w:pos="990"/>
        </w:tabs>
        <w:ind w:left="990" w:hanging="990"/>
      </w:pPr>
      <w:rPr>
        <w:rFonts w:hint="default"/>
      </w:rPr>
    </w:lvl>
    <w:lvl w:ilvl="1">
      <w:start w:val="2"/>
      <w:numFmt w:val="decimal"/>
      <w:lvlText w:val="%1.%2"/>
      <w:lvlJc w:val="left"/>
      <w:pPr>
        <w:tabs>
          <w:tab w:val="num" w:pos="1395"/>
        </w:tabs>
        <w:ind w:left="1395" w:hanging="990"/>
      </w:pPr>
      <w:rPr>
        <w:rFonts w:hint="default"/>
      </w:rPr>
    </w:lvl>
    <w:lvl w:ilvl="2">
      <w:start w:val="1"/>
      <w:numFmt w:val="decimal"/>
      <w:lvlText w:val="%1.%2.%3"/>
      <w:lvlJc w:val="left"/>
      <w:pPr>
        <w:tabs>
          <w:tab w:val="num" w:pos="1800"/>
        </w:tabs>
        <w:ind w:left="1800" w:hanging="990"/>
      </w:pPr>
      <w:rPr>
        <w:rFonts w:hint="default"/>
      </w:rPr>
    </w:lvl>
    <w:lvl w:ilvl="3">
      <w:start w:val="1"/>
      <w:numFmt w:val="decimal"/>
      <w:lvlText w:val="%1.%2.%3.%4"/>
      <w:lvlJc w:val="left"/>
      <w:pPr>
        <w:tabs>
          <w:tab w:val="num" w:pos="2205"/>
        </w:tabs>
        <w:ind w:left="2205" w:hanging="990"/>
      </w:pPr>
      <w:rPr>
        <w:rFonts w:hint="default"/>
      </w:rPr>
    </w:lvl>
    <w:lvl w:ilvl="4">
      <w:start w:val="1"/>
      <w:numFmt w:val="decimal"/>
      <w:lvlText w:val="%1.%2.%3.%4.%5"/>
      <w:lvlJc w:val="left"/>
      <w:pPr>
        <w:tabs>
          <w:tab w:val="num" w:pos="2610"/>
        </w:tabs>
        <w:ind w:left="2610" w:hanging="99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510"/>
        </w:tabs>
        <w:ind w:left="3510" w:hanging="108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4680"/>
        </w:tabs>
        <w:ind w:left="4680" w:hanging="1440"/>
      </w:pPr>
      <w:rPr>
        <w:rFonts w:hint="default"/>
      </w:rPr>
    </w:lvl>
  </w:abstractNum>
  <w:abstractNum w:abstractNumId="16" w15:restartNumberingAfterBreak="0">
    <w:nsid w:val="2A3030A1"/>
    <w:multiLevelType w:val="singleLevel"/>
    <w:tmpl w:val="6DCCA5CE"/>
    <w:lvl w:ilvl="0">
      <w:start w:val="1"/>
      <w:numFmt w:val="none"/>
      <w:lvlText w:val=""/>
      <w:legacy w:legacy="1" w:legacySpace="0" w:legacyIndent="0"/>
      <w:lvlJc w:val="left"/>
    </w:lvl>
  </w:abstractNum>
  <w:abstractNum w:abstractNumId="17" w15:restartNumberingAfterBreak="0">
    <w:nsid w:val="2D9E4A94"/>
    <w:multiLevelType w:val="singleLevel"/>
    <w:tmpl w:val="6DCCA5CE"/>
    <w:lvl w:ilvl="0">
      <w:start w:val="1"/>
      <w:numFmt w:val="none"/>
      <w:lvlText w:val=""/>
      <w:legacy w:legacy="1" w:legacySpace="0" w:legacyIndent="0"/>
      <w:lvlJc w:val="left"/>
    </w:lvl>
  </w:abstractNum>
  <w:abstractNum w:abstractNumId="18" w15:restartNumberingAfterBreak="0">
    <w:nsid w:val="40152EAB"/>
    <w:multiLevelType w:val="singleLevel"/>
    <w:tmpl w:val="2034CD5C"/>
    <w:lvl w:ilvl="0">
      <w:numFmt w:val="decimal"/>
      <w:lvlText w:val="*"/>
      <w:lvlJc w:val="left"/>
    </w:lvl>
  </w:abstractNum>
  <w:abstractNum w:abstractNumId="19" w15:restartNumberingAfterBreak="0">
    <w:nsid w:val="46B310A4"/>
    <w:multiLevelType w:val="singleLevel"/>
    <w:tmpl w:val="6DCCA5CE"/>
    <w:lvl w:ilvl="0">
      <w:start w:val="1"/>
      <w:numFmt w:val="none"/>
      <w:lvlText w:val=""/>
      <w:legacy w:legacy="1" w:legacySpace="0" w:legacyIndent="0"/>
      <w:lvlJc w:val="left"/>
    </w:lvl>
  </w:abstractNum>
  <w:abstractNum w:abstractNumId="20"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21"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2"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3" w15:restartNumberingAfterBreak="0">
    <w:nsid w:val="5B4356E1"/>
    <w:multiLevelType w:val="hybridMultilevel"/>
    <w:tmpl w:val="5EFAF3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BE216E"/>
    <w:multiLevelType w:val="singleLevel"/>
    <w:tmpl w:val="6DCCA5CE"/>
    <w:lvl w:ilvl="0">
      <w:start w:val="1"/>
      <w:numFmt w:val="none"/>
      <w:lvlText w:val=""/>
      <w:legacy w:legacy="1" w:legacySpace="0" w:legacyIndent="0"/>
      <w:lvlJc w:val="left"/>
    </w:lvl>
  </w:abstractNum>
  <w:abstractNum w:abstractNumId="25" w15:restartNumberingAfterBreak="0">
    <w:nsid w:val="6E76003D"/>
    <w:multiLevelType w:val="singleLevel"/>
    <w:tmpl w:val="BDF4B83C"/>
    <w:lvl w:ilvl="0">
      <w:numFmt w:val="decimal"/>
      <w:lvlText w:val="*"/>
      <w:lvlJc w:val="left"/>
    </w:lvl>
  </w:abstractNum>
  <w:abstractNum w:abstractNumId="26" w15:restartNumberingAfterBreak="0">
    <w:nsid w:val="72CD6C42"/>
    <w:multiLevelType w:val="hybridMultilevel"/>
    <w:tmpl w:val="D6DA08CC"/>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7BF25134"/>
    <w:multiLevelType w:val="singleLevel"/>
    <w:tmpl w:val="6DCCA5CE"/>
    <w:lvl w:ilvl="0">
      <w:start w:val="1"/>
      <w:numFmt w:val="none"/>
      <w:lvlText w:val=""/>
      <w:legacy w:legacy="1" w:legacySpace="0" w:legacyIndent="0"/>
      <w:lvlJc w:val="left"/>
    </w:lvl>
  </w:abstractNum>
  <w:num w:numId="1" w16cid:durableId="824736558">
    <w:abstractNumId w:val="9"/>
  </w:num>
  <w:num w:numId="2" w16cid:durableId="981618570">
    <w:abstractNumId w:val="7"/>
  </w:num>
  <w:num w:numId="3" w16cid:durableId="1600062409">
    <w:abstractNumId w:val="6"/>
  </w:num>
  <w:num w:numId="4" w16cid:durableId="901722446">
    <w:abstractNumId w:val="5"/>
  </w:num>
  <w:num w:numId="5" w16cid:durableId="748892806">
    <w:abstractNumId w:val="4"/>
  </w:num>
  <w:num w:numId="6" w16cid:durableId="408885080">
    <w:abstractNumId w:val="8"/>
  </w:num>
  <w:num w:numId="7" w16cid:durableId="1822960822">
    <w:abstractNumId w:val="3"/>
  </w:num>
  <w:num w:numId="8" w16cid:durableId="842401454">
    <w:abstractNumId w:val="2"/>
  </w:num>
  <w:num w:numId="9" w16cid:durableId="1426536520">
    <w:abstractNumId w:val="1"/>
  </w:num>
  <w:num w:numId="10" w16cid:durableId="89080940">
    <w:abstractNumId w:val="0"/>
  </w:num>
  <w:num w:numId="11" w16cid:durableId="1751194017">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16cid:durableId="1260870330">
    <w:abstractNumId w:val="21"/>
  </w:num>
  <w:num w:numId="13" w16cid:durableId="897592826">
    <w:abstractNumId w:val="22"/>
  </w:num>
  <w:num w:numId="14" w16cid:durableId="669451512">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16cid:durableId="1765607211">
    <w:abstractNumId w:val="20"/>
  </w:num>
  <w:num w:numId="16" w16cid:durableId="321393695">
    <w:abstractNumId w:val="24"/>
  </w:num>
  <w:num w:numId="17" w16cid:durableId="1288661591">
    <w:abstractNumId w:val="11"/>
  </w:num>
  <w:num w:numId="18" w16cid:durableId="310445395">
    <w:abstractNumId w:val="22"/>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16cid:durableId="2123961821">
    <w:abstractNumId w:val="18"/>
    <w:lvlOverride w:ilvl="0">
      <w:lvl w:ilvl="0">
        <w:start w:val="1"/>
        <w:numFmt w:val="bullet"/>
        <w:lvlText w:val=""/>
        <w:legacy w:legacy="1" w:legacySpace="0" w:legacyIndent="0"/>
        <w:lvlJc w:val="left"/>
        <w:pPr>
          <w:ind w:left="1080" w:firstLine="0"/>
        </w:pPr>
        <w:rPr>
          <w:rFonts w:ascii="Symbol" w:hAnsi="Symbol" w:hint="default"/>
        </w:rPr>
      </w:lvl>
    </w:lvlOverride>
  </w:num>
  <w:num w:numId="20" w16cid:durableId="2137094483">
    <w:abstractNumId w:val="25"/>
    <w:lvlOverride w:ilvl="0">
      <w:lvl w:ilvl="0">
        <w:start w:val="1"/>
        <w:numFmt w:val="bullet"/>
        <w:lvlText w:val=""/>
        <w:legacy w:legacy="1" w:legacySpace="0" w:legacyIndent="0"/>
        <w:lvlJc w:val="left"/>
        <w:pPr>
          <w:ind w:left="1080" w:firstLine="0"/>
        </w:pPr>
        <w:rPr>
          <w:rFonts w:ascii="Symbol" w:hAnsi="Symbol" w:hint="default"/>
        </w:rPr>
      </w:lvl>
    </w:lvlOverride>
  </w:num>
  <w:num w:numId="21" w16cid:durableId="943850129">
    <w:abstractNumId w:val="19"/>
  </w:num>
  <w:num w:numId="22" w16cid:durableId="1531408801">
    <w:abstractNumId w:val="17"/>
  </w:num>
  <w:num w:numId="23" w16cid:durableId="890190710">
    <w:abstractNumId w:val="16"/>
  </w:num>
  <w:num w:numId="24" w16cid:durableId="1952784104">
    <w:abstractNumId w:val="27"/>
  </w:num>
  <w:num w:numId="25" w16cid:durableId="2116291585">
    <w:abstractNumId w:val="13"/>
  </w:num>
  <w:num w:numId="26" w16cid:durableId="389117939">
    <w:abstractNumId w:val="15"/>
  </w:num>
  <w:num w:numId="27" w16cid:durableId="2042441077">
    <w:abstractNumId w:val="14"/>
  </w:num>
  <w:num w:numId="28" w16cid:durableId="1770421308">
    <w:abstractNumId w:val="23"/>
  </w:num>
  <w:num w:numId="29" w16cid:durableId="2077437671">
    <w:abstractNumId w:val="12"/>
  </w:num>
  <w:num w:numId="30" w16cid:durableId="25154599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5D2"/>
    <w:rsid w:val="0007493D"/>
    <w:rsid w:val="00216475"/>
    <w:rsid w:val="00217600"/>
    <w:rsid w:val="002417C4"/>
    <w:rsid w:val="002A16DD"/>
    <w:rsid w:val="002F6A90"/>
    <w:rsid w:val="00370B8D"/>
    <w:rsid w:val="00452A72"/>
    <w:rsid w:val="004611A8"/>
    <w:rsid w:val="004653AF"/>
    <w:rsid w:val="004B281A"/>
    <w:rsid w:val="005D2C46"/>
    <w:rsid w:val="0060034A"/>
    <w:rsid w:val="006679F4"/>
    <w:rsid w:val="006F7B43"/>
    <w:rsid w:val="00795532"/>
    <w:rsid w:val="00797079"/>
    <w:rsid w:val="007D6EE2"/>
    <w:rsid w:val="007E3F76"/>
    <w:rsid w:val="008355D2"/>
    <w:rsid w:val="008409F5"/>
    <w:rsid w:val="0088634E"/>
    <w:rsid w:val="008A6C4A"/>
    <w:rsid w:val="008C25E6"/>
    <w:rsid w:val="008E3ECB"/>
    <w:rsid w:val="00900490"/>
    <w:rsid w:val="009206E4"/>
    <w:rsid w:val="00993557"/>
    <w:rsid w:val="009A1CEE"/>
    <w:rsid w:val="009E301F"/>
    <w:rsid w:val="00A07E18"/>
    <w:rsid w:val="00AB279A"/>
    <w:rsid w:val="00B236CB"/>
    <w:rsid w:val="00BB09FA"/>
    <w:rsid w:val="00BB7C01"/>
    <w:rsid w:val="00C073B7"/>
    <w:rsid w:val="00C13903"/>
    <w:rsid w:val="00C73969"/>
    <w:rsid w:val="00CB76A6"/>
    <w:rsid w:val="00E00A7B"/>
    <w:rsid w:val="00E24E3D"/>
    <w:rsid w:val="00EE226F"/>
    <w:rsid w:val="00F41E7B"/>
    <w:rsid w:val="00F55B5C"/>
    <w:rsid w:val="00FA373C"/>
    <w:rsid w:val="00FC6A99"/>
    <w:rsid w:val="00FE3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98DCF1"/>
  <w15:chartTrackingRefBased/>
  <w15:docId w15:val="{328F070B-D0CC-4775-997D-D3611A9EB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link w:val="CommentTextChar"/>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A07E18"/>
    <w:rPr>
      <w:rFonts w:ascii="Segoe UI" w:hAnsi="Segoe UI" w:cs="Segoe UI"/>
      <w:sz w:val="18"/>
      <w:szCs w:val="18"/>
    </w:rPr>
  </w:style>
  <w:style w:type="character" w:customStyle="1" w:styleId="BalloonTextChar">
    <w:name w:val="Balloon Text Char"/>
    <w:link w:val="BalloonText"/>
    <w:rsid w:val="00A07E18"/>
    <w:rPr>
      <w:rFonts w:ascii="Segoe UI" w:hAnsi="Segoe UI" w:cs="Segoe UI"/>
      <w:spacing w:val="-5"/>
      <w:sz w:val="18"/>
      <w:szCs w:val="18"/>
    </w:rPr>
  </w:style>
  <w:style w:type="character" w:customStyle="1" w:styleId="CommentTextChar">
    <w:name w:val="Comment Text Char"/>
    <w:basedOn w:val="DefaultParagraphFont"/>
    <w:link w:val="CommentText"/>
    <w:semiHidden/>
    <w:rsid w:val="002F6A90"/>
    <w:rPr>
      <w:rFonts w:ascii="Arial" w:hAnsi="Arial"/>
      <w:spacing w:val="-5"/>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CALIFORNIA SPECIAL DISTRICTS ASSOCIATION</vt:lpstr>
    </vt:vector>
  </TitlesOfParts>
  <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SPECIAL DISTRICTS ASSOCIATION</dc:title>
  <dc:subject/>
  <dc:creator>Mike Glaze</dc:creator>
  <cp:keywords/>
  <dc:description/>
  <cp:lastModifiedBy>Art Tharpe</cp:lastModifiedBy>
  <cp:revision>6</cp:revision>
  <cp:lastPrinted>2017-01-04T18:40:00Z</cp:lastPrinted>
  <dcterms:created xsi:type="dcterms:W3CDTF">2017-04-19T17:46:00Z</dcterms:created>
  <dcterms:modified xsi:type="dcterms:W3CDTF">2024-04-21T04:59:00Z</dcterms:modified>
</cp:coreProperties>
</file>